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3300" w14:textId="35D79758" w:rsidR="00040633" w:rsidRPr="00807A80" w:rsidRDefault="00040633" w:rsidP="00AF3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66"/>
          <w:sz w:val="18"/>
          <w:szCs w:val="18"/>
          <w:lang w:val="en-US"/>
        </w:rPr>
      </w:pPr>
      <w:r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Краткая справочная информация – </w:t>
      </w:r>
      <w:proofErr w:type="spellStart"/>
      <w:r w:rsidRPr="00807A80">
        <w:rPr>
          <w:rFonts w:ascii="Times New Roman" w:hAnsi="Times New Roman" w:cs="Times New Roman"/>
          <w:color w:val="CD0066"/>
          <w:sz w:val="18"/>
          <w:szCs w:val="18"/>
        </w:rPr>
        <w:t>трифлуридин+типирацил</w:t>
      </w:r>
      <w:proofErr w:type="spellEnd"/>
    </w:p>
    <w:p w14:paraId="7057E5E0" w14:textId="7F376C85" w:rsidR="00AF3660" w:rsidRPr="00807A80" w:rsidRDefault="00BD1FC5" w:rsidP="00E0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07A80">
        <w:rPr>
          <w:rFonts w:ascii="Times New Roman" w:hAnsi="Times New Roman" w:cs="Times New Roman"/>
          <w:color w:val="CD0066"/>
          <w:sz w:val="18"/>
          <w:szCs w:val="18"/>
        </w:rPr>
        <w:t>С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остав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Pr="00807A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35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Каждая таблетка 6,14 мг+15 мг, покрытая пленочной оболочкой, содержит 6,14 мг </w:t>
      </w:r>
      <w:proofErr w:type="spellStart"/>
      <w:r w:rsidR="006C335B" w:rsidRPr="00807A80">
        <w:rPr>
          <w:rFonts w:ascii="Times New Roman" w:hAnsi="Times New Roman" w:cs="Times New Roman"/>
          <w:color w:val="000000"/>
          <w:sz w:val="18"/>
          <w:szCs w:val="18"/>
        </w:rPr>
        <w:t>типирацила</w:t>
      </w:r>
      <w:proofErr w:type="spellEnd"/>
      <w:r w:rsidR="006C335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и 15 мг </w:t>
      </w:r>
      <w:proofErr w:type="spellStart"/>
      <w:r w:rsidR="006C335B" w:rsidRPr="00807A80">
        <w:rPr>
          <w:rFonts w:ascii="Times New Roman" w:hAnsi="Times New Roman" w:cs="Times New Roman"/>
          <w:color w:val="000000"/>
          <w:sz w:val="18"/>
          <w:szCs w:val="18"/>
        </w:rPr>
        <w:t>трифлуридина</w:t>
      </w:r>
      <w:proofErr w:type="spellEnd"/>
      <w:r w:rsidR="006C335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Каждая таблетка 8,19 мг+20 мг, покрытая пленочной оболочкой, содержит 8,19 мг </w:t>
      </w:r>
      <w:proofErr w:type="spellStart"/>
      <w:proofErr w:type="gramStart"/>
      <w:r w:rsidRPr="00807A80">
        <w:rPr>
          <w:rFonts w:ascii="Times New Roman" w:hAnsi="Times New Roman" w:cs="Times New Roman"/>
          <w:color w:val="000000"/>
          <w:sz w:val="18"/>
          <w:szCs w:val="18"/>
        </w:rPr>
        <w:t>типирацила</w:t>
      </w:r>
      <w:proofErr w:type="spellEnd"/>
      <w:r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 и</w:t>
      </w:r>
      <w:proofErr w:type="gramEnd"/>
      <w:r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20 мг </w:t>
      </w:r>
      <w:proofErr w:type="spellStart"/>
      <w:r w:rsidRPr="00807A80">
        <w:rPr>
          <w:rFonts w:ascii="Times New Roman" w:hAnsi="Times New Roman" w:cs="Times New Roman"/>
          <w:color w:val="000000"/>
          <w:sz w:val="18"/>
          <w:szCs w:val="18"/>
        </w:rPr>
        <w:t>трифлуридина</w:t>
      </w:r>
      <w:proofErr w:type="spellEnd"/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807A80">
        <w:rPr>
          <w:rFonts w:ascii="Times New Roman" w:hAnsi="Times New Roman" w:cs="Times New Roman"/>
          <w:color w:val="CD0066"/>
          <w:sz w:val="18"/>
          <w:szCs w:val="18"/>
        </w:rPr>
        <w:t>Показания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1) 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в комбинации с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бевацизумабом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для лечения взрослых с</w:t>
      </w:r>
      <w:r w:rsidR="0072172C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метастатическим колоректальным раком (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мКРР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), которые ранее получили две схемы противоопухолевой терапии, включая химиотерапию на основе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фторпиримидина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оксалиплатина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иринотекана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, терапию моноклональными антителами к фактору роста эндотелия сосудов (VEGF) и/или к рецептору эпидермального фактора роста (EGFR)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2) 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монотерапи</w:t>
      </w:r>
      <w:r w:rsidR="003B207B" w:rsidRPr="00807A80">
        <w:rPr>
          <w:rFonts w:ascii="Times New Roman" w:hAnsi="Times New Roman" w:cs="Times New Roman"/>
          <w:color w:val="000000"/>
          <w:sz w:val="18"/>
          <w:szCs w:val="18"/>
        </w:rPr>
        <w:t>я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у взрослых с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мКРР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которым уже проводилась или не показана стандартная химиотерапия на основе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фторпиримидина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оксалиплатина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иринотекана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, а также терапия моноклональными антителами к VEGF и к EGFR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3) </w:t>
      </w:r>
      <w:proofErr w:type="spellStart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>монотерапи</w:t>
      </w:r>
      <w:r w:rsidR="003B207B" w:rsidRPr="00807A80">
        <w:rPr>
          <w:rFonts w:ascii="Times New Roman" w:hAnsi="Times New Roman" w:cs="Times New Roman"/>
          <w:color w:val="000000"/>
          <w:sz w:val="18"/>
          <w:szCs w:val="18"/>
        </w:rPr>
        <w:t>я</w:t>
      </w:r>
      <w:proofErr w:type="spellEnd"/>
      <w:r w:rsidR="0028266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у взрослых с метастатическим раком желудка, включая аденокарциному гастроэзофагеального перехода, которым проводилась терапия по крайней мере двумя схемами противоопухолевой терапии для поздней стадии</w:t>
      </w:r>
      <w:r w:rsidR="0028266A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  <w:r w:rsidR="0072172C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06E6B" w:rsidRPr="00807A80">
        <w:rPr>
          <w:rFonts w:ascii="Times New Roman" w:hAnsi="Times New Roman" w:cs="Times New Roman"/>
          <w:color w:val="CD0066"/>
          <w:sz w:val="18"/>
          <w:szCs w:val="18"/>
        </w:rPr>
        <w:t>С</w:t>
      </w:r>
      <w:r w:rsidRPr="00807A80">
        <w:rPr>
          <w:rFonts w:ascii="Times New Roman" w:hAnsi="Times New Roman" w:cs="Times New Roman"/>
          <w:color w:val="CD0066"/>
          <w:sz w:val="18"/>
          <w:szCs w:val="18"/>
        </w:rPr>
        <w:t>пособ применения</w:t>
      </w:r>
      <w:r w:rsidR="00006E6B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и дозы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Pr="00807A80">
        <w:rPr>
          <w:rFonts w:ascii="Times New Roman" w:hAnsi="Times New Roman" w:cs="Times New Roman"/>
          <w:sz w:val="18"/>
          <w:szCs w:val="18"/>
        </w:rPr>
        <w:t>Рекомендованная начальная доза 35 мг/м2 перорально 2 р</w:t>
      </w:r>
      <w:r w:rsidR="00623F44" w:rsidRPr="00807A80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807A80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807A80">
        <w:rPr>
          <w:rFonts w:ascii="Times New Roman" w:hAnsi="Times New Roman" w:cs="Times New Roman"/>
          <w:sz w:val="18"/>
          <w:szCs w:val="18"/>
        </w:rPr>
        <w:t xml:space="preserve"> с 1 по 5 день и с 8 по 12 день каждого 28-дн</w:t>
      </w:r>
      <w:r w:rsidR="00623F44" w:rsidRPr="00807A80">
        <w:rPr>
          <w:rFonts w:ascii="Times New Roman" w:hAnsi="Times New Roman" w:cs="Times New Roman"/>
          <w:sz w:val="18"/>
          <w:szCs w:val="18"/>
        </w:rPr>
        <w:t>.</w:t>
      </w:r>
      <w:r w:rsidRPr="00807A80">
        <w:rPr>
          <w:rFonts w:ascii="Times New Roman" w:hAnsi="Times New Roman" w:cs="Times New Roman"/>
          <w:sz w:val="18"/>
          <w:szCs w:val="18"/>
        </w:rPr>
        <w:t xml:space="preserve"> цикла в течение 1 часа после завтрака и ужина. Разовая доза, рассчитанная в соответствии с </w:t>
      </w:r>
      <w:r w:rsidR="005E6F88" w:rsidRPr="00807A80">
        <w:rPr>
          <w:rFonts w:ascii="Times New Roman" w:hAnsi="Times New Roman" w:cs="Times New Roman"/>
          <w:sz w:val="18"/>
          <w:szCs w:val="18"/>
        </w:rPr>
        <w:t>ППТ</w:t>
      </w:r>
      <w:r w:rsidRPr="00807A80">
        <w:rPr>
          <w:rFonts w:ascii="Times New Roman" w:hAnsi="Times New Roman" w:cs="Times New Roman"/>
          <w:sz w:val="18"/>
          <w:szCs w:val="18"/>
        </w:rPr>
        <w:t xml:space="preserve">, не </w:t>
      </w:r>
      <w:r w:rsidR="005E6F88" w:rsidRPr="00807A80">
        <w:rPr>
          <w:rFonts w:ascii="Times New Roman" w:hAnsi="Times New Roman" w:cs="Times New Roman"/>
          <w:sz w:val="18"/>
          <w:szCs w:val="18"/>
        </w:rPr>
        <w:t>более</w:t>
      </w:r>
      <w:r w:rsidRPr="00807A80">
        <w:rPr>
          <w:rFonts w:ascii="Times New Roman" w:hAnsi="Times New Roman" w:cs="Times New Roman"/>
          <w:sz w:val="18"/>
          <w:szCs w:val="18"/>
        </w:rPr>
        <w:t xml:space="preserve"> 80 мг. </w:t>
      </w:r>
      <w:r w:rsidR="005E6F88" w:rsidRPr="00807A80">
        <w:rPr>
          <w:rFonts w:ascii="Times New Roman" w:hAnsi="Times New Roman" w:cs="Times New Roman"/>
          <w:sz w:val="18"/>
          <w:szCs w:val="18"/>
        </w:rPr>
        <w:t>П</w:t>
      </w:r>
      <w:r w:rsidRPr="00807A80">
        <w:rPr>
          <w:rFonts w:ascii="Times New Roman" w:hAnsi="Times New Roman" w:cs="Times New Roman"/>
          <w:sz w:val="18"/>
          <w:szCs w:val="18"/>
        </w:rPr>
        <w:t xml:space="preserve">одбор дозы в зависимости от индивидуальной безопасности и переносимости. </w:t>
      </w:r>
      <w:r w:rsidR="005E6F88" w:rsidRPr="00807A80">
        <w:rPr>
          <w:rFonts w:ascii="Times New Roman" w:hAnsi="Times New Roman" w:cs="Times New Roman"/>
          <w:sz w:val="18"/>
          <w:szCs w:val="18"/>
        </w:rPr>
        <w:t>Н</w:t>
      </w:r>
      <w:r w:rsidRPr="00807A80">
        <w:rPr>
          <w:rFonts w:ascii="Times New Roman" w:hAnsi="Times New Roman" w:cs="Times New Roman"/>
          <w:sz w:val="18"/>
          <w:szCs w:val="18"/>
        </w:rPr>
        <w:t>е более 3 снижений дозы до минимальной 20 мг/м</w:t>
      </w:r>
      <w:r w:rsidRPr="00807A8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807A80">
        <w:rPr>
          <w:rFonts w:ascii="Times New Roman" w:hAnsi="Times New Roman" w:cs="Times New Roman"/>
          <w:sz w:val="18"/>
          <w:szCs w:val="18"/>
        </w:rPr>
        <w:t xml:space="preserve"> 2 раза в сутки. После снижения дозы ее повышение не допускается.</w:t>
      </w:r>
      <w:r w:rsidR="006D1417" w:rsidRPr="00807A80">
        <w:rPr>
          <w:rFonts w:ascii="Times New Roman" w:hAnsi="Times New Roman" w:cs="Times New Roman"/>
          <w:sz w:val="18"/>
          <w:szCs w:val="18"/>
        </w:rPr>
        <w:t xml:space="preserve"> </w:t>
      </w:r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В сочетании с </w:t>
      </w:r>
      <w:proofErr w:type="spellStart"/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>бевацизумабом</w:t>
      </w:r>
      <w:proofErr w:type="spellEnd"/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для лечения </w:t>
      </w:r>
      <w:proofErr w:type="spellStart"/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>мКРР</w:t>
      </w:r>
      <w:proofErr w:type="spellEnd"/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доза </w:t>
      </w:r>
      <w:proofErr w:type="spellStart"/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>бевацизумаба</w:t>
      </w:r>
      <w:proofErr w:type="spellEnd"/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составляет 5 мг/кг массы тела 1 раз в 2 недели. </w:t>
      </w:r>
      <w:r w:rsidR="008B60D9" w:rsidRPr="00807A80">
        <w:rPr>
          <w:rFonts w:ascii="Times New Roman" w:hAnsi="Times New Roman" w:cs="Times New Roman"/>
          <w:color w:val="CD0066"/>
          <w:sz w:val="18"/>
          <w:szCs w:val="18"/>
        </w:rPr>
        <w:t>Противопоказания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bookmarkStart w:id="0" w:name="_Hlk25164773"/>
      <w:r w:rsidR="008B60D9" w:rsidRPr="00807A80">
        <w:rPr>
          <w:rFonts w:ascii="Times New Roman" w:hAnsi="Times New Roman" w:cs="Times New Roman"/>
          <w:color w:val="000000"/>
          <w:sz w:val="18"/>
          <w:szCs w:val="18"/>
        </w:rPr>
        <w:t>Гиперчувствительность к действующим или любым вспомогательным веществам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E6F8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bookmarkEnd w:id="0"/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Особые указания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B20EB6" w:rsidRPr="00807A80">
        <w:rPr>
          <w:rFonts w:ascii="Times New Roman" w:hAnsi="Times New Roman" w:cs="Times New Roman"/>
          <w:i/>
          <w:color w:val="000000"/>
          <w:sz w:val="18"/>
          <w:szCs w:val="18"/>
        </w:rPr>
        <w:t>Подавление костного мозга</w:t>
      </w:r>
      <w:r w:rsidR="00B20EB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: перед началом терапии получить результаты </w:t>
      </w:r>
      <w:r w:rsidR="00E9161F" w:rsidRPr="00807A80">
        <w:rPr>
          <w:rFonts w:ascii="Times New Roman" w:hAnsi="Times New Roman" w:cs="Times New Roman"/>
          <w:color w:val="000000"/>
          <w:sz w:val="18"/>
          <w:szCs w:val="18"/>
        </w:rPr>
        <w:t>ОАК</w:t>
      </w:r>
      <w:r w:rsidR="00B20EB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не реже, чем перед каждым циклом терапии. 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Не начинать терапию, если </w:t>
      </w:r>
      <w:proofErr w:type="spellStart"/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>абс</w:t>
      </w:r>
      <w:proofErr w:type="spellEnd"/>
      <w:r w:rsidR="00E9161F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число нейтрофилов </w:t>
      </w:r>
      <w:r w:rsidR="00E9161F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>&lt;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1,5 х 10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9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/л, если количество тромбоцитов </w:t>
      </w:r>
      <w:r w:rsidR="00E9161F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>&lt;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75 х 10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9</w:t>
      </w:r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/л или если у пациента </w:t>
      </w:r>
      <w:proofErr w:type="spellStart"/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>неразреш</w:t>
      </w:r>
      <w:r w:rsidR="00E31D0A" w:rsidRPr="00807A80">
        <w:rPr>
          <w:rFonts w:ascii="Times New Roman" w:hAnsi="Times New Roman" w:cs="Times New Roman"/>
          <w:color w:val="000000"/>
          <w:sz w:val="18"/>
          <w:szCs w:val="18"/>
        </w:rPr>
        <w:t>ившиеся</w:t>
      </w:r>
      <w:proofErr w:type="spellEnd"/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клинически значимые явления </w:t>
      </w:r>
      <w:proofErr w:type="spellStart"/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>негематологической</w:t>
      </w:r>
      <w:proofErr w:type="spellEnd"/>
      <w:r w:rsidR="008C46A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токсичности 3 или 4 ст. </w:t>
      </w:r>
      <w:r w:rsidR="00E9161F" w:rsidRPr="00807A80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нимательно наблюдать </w:t>
      </w:r>
      <w:r w:rsidR="00E9161F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за пациентом 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(развитие инфекций) и принимать меры в соответствии с клиническими показаниями. </w:t>
      </w:r>
      <w:r w:rsidR="00324809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Токсическое действие на </w:t>
      </w:r>
      <w:r w:rsidR="00E07867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>ЖКТ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>по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показани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>ям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применять противорвотные, </w:t>
      </w:r>
      <w:proofErr w:type="spellStart"/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>противодиарейные</w:t>
      </w:r>
      <w:proofErr w:type="spellEnd"/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>др.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>, такие как восполнение потери жидкости/электролитов. При необходимости корректировать дозу.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24809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>Почечная недостаточность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>не рекомендовано при терминальной стади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73B4E">
        <w:rPr>
          <w:rFonts w:ascii="Times New Roman" w:hAnsi="Times New Roman" w:cs="Times New Roman"/>
          <w:color w:val="000000"/>
          <w:sz w:val="18"/>
          <w:szCs w:val="18"/>
        </w:rPr>
        <w:t>ХБП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. Пациентов с 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умеренной/тяжелой 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почечной недостаточностью наблюдать 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>чаще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>для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выявления гематологической токсичности. </w:t>
      </w:r>
      <w:r w:rsidR="00F26A3D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Печеночная недостаточность: </w:t>
      </w:r>
      <w:r w:rsidR="00F26A3D" w:rsidRPr="00807A80">
        <w:rPr>
          <w:rFonts w:ascii="Times New Roman" w:hAnsi="Times New Roman" w:cs="Times New Roman"/>
          <w:iCs/>
          <w:color w:val="000000"/>
          <w:sz w:val="18"/>
          <w:szCs w:val="18"/>
        </w:rPr>
        <w:t>не рекомендуется</w:t>
      </w:r>
      <w:r w:rsidR="00F26A3D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F26A3D" w:rsidRPr="00807A80">
        <w:rPr>
          <w:rFonts w:ascii="Times New Roman" w:hAnsi="Times New Roman" w:cs="Times New Roman"/>
          <w:iCs/>
          <w:color w:val="000000"/>
          <w:sz w:val="18"/>
          <w:szCs w:val="18"/>
        </w:rPr>
        <w:t>с исходной печеночной недостаточностью средней и тяжелой степени.</w:t>
      </w:r>
      <w:r w:rsidR="00747F21" w:rsidRPr="00807A80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="00F26A3D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Протеинурия: </w:t>
      </w:r>
      <w:r w:rsidR="00F26A3D" w:rsidRPr="00807A80">
        <w:rPr>
          <w:rFonts w:ascii="Times New Roman" w:hAnsi="Times New Roman" w:cs="Times New Roman"/>
          <w:iCs/>
          <w:color w:val="000000"/>
          <w:sz w:val="18"/>
          <w:szCs w:val="18"/>
        </w:rPr>
        <w:t>р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>екоменду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>ю</w:t>
      </w:r>
      <w:r w:rsidR="00F26A3D" w:rsidRPr="00807A80">
        <w:rPr>
          <w:rFonts w:ascii="Times New Roman" w:hAnsi="Times New Roman" w:cs="Times New Roman"/>
          <w:color w:val="000000"/>
          <w:sz w:val="18"/>
          <w:szCs w:val="18"/>
        </w:rPr>
        <w:t>тся анализы мочи с использованием тест-полосок до начала и во время терапии.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26A3D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>Непереносимость лактозы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 w:rsidR="00324809" w:rsidRPr="00807A80">
        <w:rPr>
          <w:rFonts w:ascii="Times New Roman" w:hAnsi="Times New Roman" w:cs="Times New Roman"/>
          <w:color w:val="000000"/>
          <w:sz w:val="18"/>
          <w:szCs w:val="18"/>
        </w:rPr>
        <w:t>содержит лактозу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Взаимодействие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3E071D" w:rsidRPr="00807A80">
        <w:rPr>
          <w:rFonts w:ascii="Times New Roman" w:hAnsi="Times New Roman" w:cs="Times New Roman"/>
          <w:i/>
          <w:color w:val="000000"/>
          <w:sz w:val="18"/>
          <w:szCs w:val="18"/>
        </w:rPr>
        <w:t>С осторожность</w:t>
      </w:r>
      <w:r w:rsidR="00B43419" w:rsidRPr="00807A80">
        <w:rPr>
          <w:rFonts w:ascii="Times New Roman" w:hAnsi="Times New Roman" w:cs="Times New Roman"/>
          <w:i/>
          <w:color w:val="000000"/>
          <w:sz w:val="18"/>
          <w:szCs w:val="18"/>
        </w:rPr>
        <w:t>ю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средства, которые взаимодействуют с </w:t>
      </w:r>
      <w:proofErr w:type="spellStart"/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нуклеозидными</w:t>
      </w:r>
      <w:proofErr w:type="spellEnd"/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транспортерами 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CNT1, ENT1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и ENT2;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ингибиторы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OCT2 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или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MATE1, 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субстраты </w:t>
      </w:r>
      <w:proofErr w:type="spellStart"/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тимидинкиназы</w:t>
      </w:r>
      <w:proofErr w:type="spellEnd"/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человека</w:t>
      </w:r>
      <w:r w:rsidR="00B4341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напр</w:t>
      </w:r>
      <w:r w:rsidR="00B43419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, зидовудин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r w:rsidR="003E071D" w:rsidRPr="00807A80">
        <w:rPr>
          <w:rFonts w:ascii="Times New Roman" w:hAnsi="Times New Roman" w:cs="Times New Roman"/>
          <w:color w:val="000000"/>
          <w:sz w:val="18"/>
          <w:szCs w:val="18"/>
        </w:rPr>
        <w:t>гормональные контрацептивы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33FBB" w:rsidRPr="00807A80">
        <w:rPr>
          <w:rFonts w:ascii="Times New Roman" w:hAnsi="Times New Roman" w:cs="Times New Roman"/>
          <w:color w:val="CD0066"/>
          <w:sz w:val="18"/>
          <w:szCs w:val="18"/>
        </w:rPr>
        <w:t>Б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еременност</w:t>
      </w:r>
      <w:r w:rsidR="003E071D" w:rsidRPr="00807A80">
        <w:rPr>
          <w:rFonts w:ascii="Times New Roman" w:hAnsi="Times New Roman" w:cs="Times New Roman"/>
          <w:color w:val="CD0066"/>
          <w:sz w:val="18"/>
          <w:szCs w:val="18"/>
        </w:rPr>
        <w:t>ь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и </w:t>
      </w:r>
      <w:r w:rsidR="003E071D" w:rsidRPr="00807A80">
        <w:rPr>
          <w:rFonts w:ascii="Times New Roman" w:hAnsi="Times New Roman" w:cs="Times New Roman"/>
          <w:color w:val="CD0066"/>
          <w:sz w:val="18"/>
          <w:szCs w:val="18"/>
        </w:rPr>
        <w:t>лактация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233FBB" w:rsidRPr="00807A80">
        <w:rPr>
          <w:rFonts w:ascii="Times New Roman" w:hAnsi="Times New Roman" w:cs="Times New Roman"/>
          <w:color w:val="000000"/>
          <w:sz w:val="18"/>
          <w:szCs w:val="18"/>
        </w:rPr>
        <w:t>Не применять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2A323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33FBB" w:rsidRPr="00807A80">
        <w:rPr>
          <w:rFonts w:ascii="Times New Roman" w:hAnsi="Times New Roman" w:cs="Times New Roman"/>
          <w:iCs/>
          <w:color w:val="CD0066"/>
          <w:sz w:val="18"/>
          <w:szCs w:val="18"/>
        </w:rPr>
        <w:t>Контрацепция у мужчин и женщин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="00233FB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спользовать надежные методы контрацепции во время лечения и 6 месяцев после </w:t>
      </w:r>
      <w:r w:rsidR="009614A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его </w:t>
      </w:r>
      <w:r w:rsidR="002A3230" w:rsidRPr="00807A80">
        <w:rPr>
          <w:rFonts w:ascii="Times New Roman" w:hAnsi="Times New Roman" w:cs="Times New Roman"/>
          <w:color w:val="000000"/>
          <w:sz w:val="18"/>
          <w:szCs w:val="18"/>
        </w:rPr>
        <w:t>завершения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B4341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43419" w:rsidRPr="00807A80">
        <w:rPr>
          <w:rFonts w:ascii="Times New Roman" w:hAnsi="Times New Roman" w:cs="Times New Roman"/>
          <w:iCs/>
          <w:color w:val="CD0066"/>
          <w:sz w:val="18"/>
          <w:szCs w:val="18"/>
        </w:rPr>
        <w:t>Фертильность</w:t>
      </w:r>
      <w:r w:rsidR="00B43419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* </w:t>
      </w:r>
      <w:r w:rsidR="00911C10" w:rsidRPr="00807A80">
        <w:rPr>
          <w:rFonts w:ascii="Times New Roman" w:hAnsi="Times New Roman" w:cs="Times New Roman"/>
          <w:color w:val="000000"/>
          <w:sz w:val="18"/>
          <w:szCs w:val="18"/>
        </w:rPr>
        <w:t>Обратиться за консультацией по репродуктивным вопросам</w:t>
      </w:r>
      <w:r w:rsidR="007923E0" w:rsidRPr="00807A8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911C1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911C10" w:rsidRPr="00807A80">
        <w:rPr>
          <w:rFonts w:ascii="Times New Roman" w:hAnsi="Times New Roman" w:cs="Times New Roman"/>
          <w:color w:val="000000"/>
          <w:sz w:val="18"/>
          <w:szCs w:val="18"/>
        </w:rPr>
        <w:t>криоконсерв</w:t>
      </w:r>
      <w:r w:rsidR="00CC5477" w:rsidRPr="00807A80">
        <w:rPr>
          <w:rFonts w:ascii="Times New Roman" w:hAnsi="Times New Roman" w:cs="Times New Roman"/>
          <w:color w:val="000000"/>
          <w:sz w:val="18"/>
          <w:szCs w:val="18"/>
        </w:rPr>
        <w:t>ировать</w:t>
      </w:r>
      <w:proofErr w:type="spellEnd"/>
      <w:r w:rsidR="00911C1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яйцеклетки и сперм</w:t>
      </w:r>
      <w:r w:rsidR="00CC5477" w:rsidRPr="00807A80">
        <w:rPr>
          <w:rFonts w:ascii="Times New Roman" w:hAnsi="Times New Roman" w:cs="Times New Roman"/>
          <w:color w:val="000000"/>
          <w:sz w:val="18"/>
          <w:szCs w:val="18"/>
        </w:rPr>
        <w:t>у</w:t>
      </w:r>
      <w:r w:rsidR="00911C1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до начала лечения. </w:t>
      </w:r>
      <w:r w:rsidR="00FC665A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Управление транспортными средствами, механизмами 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FC665A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A95FFE" w:rsidRPr="00807A80">
        <w:rPr>
          <w:rFonts w:ascii="Times New Roman" w:hAnsi="Times New Roman" w:cs="Times New Roman"/>
          <w:color w:val="000000"/>
          <w:sz w:val="18"/>
          <w:szCs w:val="18"/>
        </w:rPr>
        <w:t>Могут отмечаться утомляемость, головокружение</w:t>
      </w:r>
      <w:r w:rsidR="00CC5477" w:rsidRPr="00807A8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A95FFE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общее недомогание</w:t>
      </w:r>
      <w:r w:rsidR="00AF3660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FC665A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95FFE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Нежелательные реакции 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79420B" w:rsidRPr="00807A8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Очень часто: </w:t>
      </w:r>
      <w:bookmarkStart w:id="1" w:name="_Hlk25164594"/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анемия, </w:t>
      </w:r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нейтропения, лейкопения, тромбоцитопения</w:t>
      </w:r>
      <w:bookmarkEnd w:id="1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снижение аппетита, диарея, тошнота, рвота, </w:t>
      </w:r>
      <w:r w:rsidR="00B80E71" w:rsidRPr="00807A80">
        <w:rPr>
          <w:rFonts w:ascii="Times New Roman" w:hAnsi="Times New Roman" w:cs="Times New Roman"/>
          <w:color w:val="000000"/>
          <w:sz w:val="18"/>
          <w:szCs w:val="18"/>
        </w:rPr>
        <w:t>стоматит,</w:t>
      </w:r>
      <w:r w:rsidR="00B80E7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>быстрая</w:t>
      </w:r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утомляемость.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9420B" w:rsidRPr="00807A80">
        <w:rPr>
          <w:rFonts w:ascii="Times New Roman" w:hAnsi="Times New Roman" w:cs="Times New Roman"/>
          <w:i/>
          <w:color w:val="000000"/>
          <w:sz w:val="18"/>
          <w:szCs w:val="18"/>
        </w:rPr>
        <w:t>Часто:</w:t>
      </w:r>
      <w:r w:rsidR="0079420B" w:rsidRPr="00807A80">
        <w:rPr>
          <w:rFonts w:ascii="Times New Roman" w:hAnsi="Times New Roman" w:cs="Times New Roman"/>
        </w:rPr>
        <w:t xml:space="preserve"> </w:t>
      </w:r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инфекци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нижних дыхательных путей,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инфекция,</w:t>
      </w:r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bookmarkStart w:id="2" w:name="_Hlk25164583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фебрильная нейтропения,</w:t>
      </w:r>
      <w:r w:rsidR="0075171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лимфопения</w:t>
      </w:r>
      <w:bookmarkEnd w:id="2"/>
      <w:proofErr w:type="spellEnd"/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гипоальбуминемия</w:t>
      </w:r>
      <w:proofErr w:type="spellEnd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>дисгевзия</w:t>
      </w:r>
      <w:proofErr w:type="spellEnd"/>
      <w:r w:rsidR="0079420B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головокружение, головная боль, артериальная гипертензия, одышка, боль в животе, запор, изъязвление в полости рта, нарушение со стороны ротовой полости, гипербилирубинемия, алопеция, сухость кожи, зуд, сыпь, </w:t>
      </w:r>
      <w:r w:rsidR="00EC0EC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артралгия, миалгия, </w:t>
      </w:r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протеинурия, </w:t>
      </w:r>
      <w:proofErr w:type="spellStart"/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>пирексия</w:t>
      </w:r>
      <w:proofErr w:type="spellEnd"/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воспаление слизистой оболочки, недомогание, отек, снижение массы тела, повышение </w:t>
      </w:r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>уровня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печеночных </w:t>
      </w:r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>ферментов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повышение </w:t>
      </w:r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>уровня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щелочной фосфатазы </w:t>
      </w:r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="00831480" w:rsidRPr="00807A80">
        <w:rPr>
          <w:rFonts w:ascii="Times New Roman" w:hAnsi="Times New Roman" w:cs="Times New Roman"/>
          <w:color w:val="000000"/>
          <w:sz w:val="18"/>
          <w:szCs w:val="18"/>
        </w:rPr>
        <w:t>крови</w:t>
      </w:r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461178" w:rsidRPr="00807A8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Нечасто: </w:t>
      </w:r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сепсис у пациента с нейтропенией, инфекция желчевыводящих путей, инфекция мочевыводящих путей, бактериальная инфекция, инфекция, обусловленная грибами </w:t>
      </w:r>
      <w:proofErr w:type="spellStart"/>
      <w:r w:rsidR="00461178" w:rsidRPr="00807A80">
        <w:rPr>
          <w:rFonts w:ascii="Times New Roman" w:hAnsi="Times New Roman" w:cs="Times New Roman"/>
          <w:color w:val="000000"/>
          <w:sz w:val="18"/>
          <w:szCs w:val="18"/>
        </w:rPr>
        <w:t>Candida</w:t>
      </w:r>
      <w:proofErr w:type="spellEnd"/>
      <w:r w:rsidR="00AA3359" w:rsidRPr="00807A80">
        <w:rPr>
          <w:rFonts w:ascii="Times New Roman" w:hAnsi="Times New Roman" w:cs="Times New Roman"/>
          <w:color w:val="000000"/>
          <w:sz w:val="18"/>
          <w:szCs w:val="18"/>
        </w:rPr>
        <w:t>, конъюнктивит, опоясывающий герпес,</w:t>
      </w:r>
      <w:r w:rsidR="00AA3359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AA3359" w:rsidRPr="00807A80">
        <w:rPr>
          <w:rFonts w:ascii="Times New Roman" w:hAnsi="Times New Roman" w:cs="Times New Roman"/>
          <w:color w:val="000000"/>
          <w:sz w:val="18"/>
          <w:szCs w:val="18"/>
        </w:rPr>
        <w:t>грипп,</w:t>
      </w:r>
      <w:r w:rsidR="008E36F7" w:rsidRPr="00807A80">
        <w:rPr>
          <w:rFonts w:ascii="Times New Roman" w:hAnsi="Times New Roman" w:cs="Times New Roman"/>
        </w:rPr>
        <w:t xml:space="preserve"> </w:t>
      </w:r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инфекция верхних дыхательных путей, гингивит, боль, связанная со злокачественным новообразованием, панцитопения, </w:t>
      </w:r>
      <w:proofErr w:type="spellStart"/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>эритропения</w:t>
      </w:r>
      <w:proofErr w:type="spellEnd"/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лейкоцитоз, </w:t>
      </w:r>
      <w:proofErr w:type="spellStart"/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>моноцитопения</w:t>
      </w:r>
      <w:proofErr w:type="spellEnd"/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>моноцитоз</w:t>
      </w:r>
      <w:proofErr w:type="spellEnd"/>
      <w:r w:rsidR="008E36F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обезвоживание, гипергликемия, гиперкалиемия, </w:t>
      </w:r>
      <w:proofErr w:type="spellStart"/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>гипокальцемия</w:t>
      </w:r>
      <w:proofErr w:type="spellEnd"/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>гипокалиемия</w:t>
      </w:r>
      <w:proofErr w:type="spellEnd"/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гипонатриемия, </w:t>
      </w:r>
      <w:proofErr w:type="spellStart"/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>гипофосфатемия</w:t>
      </w:r>
      <w:proofErr w:type="spellEnd"/>
      <w:r w:rsidR="001841D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чувство тревоги, бессонница, </w:t>
      </w:r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нейропатия периферическая, парестезия, летаргия, </w:t>
      </w:r>
      <w:proofErr w:type="spellStart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>нейротоксичность</w:t>
      </w:r>
      <w:proofErr w:type="spellEnd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чувство жжения, вертиго, стенокардия, аритмия, сердцебиение, приливы крови, артериальная гипотензия, тромбоэмболия легочной артерии, дисфония, кашель, </w:t>
      </w:r>
      <w:proofErr w:type="spellStart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>эпистаксис</w:t>
      </w:r>
      <w:proofErr w:type="spellEnd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ринорея, кишечная непроходимость, желудочно-кишечное кровотечение, колит, вздутие живота, воспаление заднего прохода, диспепсия, метеоризм, гастрит, гастроэзофагеальная рефлюксная болезнь, глоссит, нарушенная эвакуации содержимого желудка, рвотные позывы, патология со стороны зубов, </w:t>
      </w:r>
      <w:proofErr w:type="spellStart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>гепатотоксичность</w:t>
      </w:r>
      <w:proofErr w:type="spellEnd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поражение ногтей, синдром ладонно-подошвенной </w:t>
      </w:r>
      <w:proofErr w:type="spellStart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>эритродизестезии</w:t>
      </w:r>
      <w:proofErr w:type="spellEnd"/>
      <w:r w:rsidR="00434142" w:rsidRPr="00807A80">
        <w:rPr>
          <w:rFonts w:ascii="Times New Roman" w:hAnsi="Times New Roman" w:cs="Times New Roman"/>
          <w:color w:val="000000"/>
          <w:sz w:val="18"/>
          <w:szCs w:val="18"/>
        </w:rPr>
        <w:t>, акне, гипергидроз, крапивница,</w:t>
      </w:r>
      <w:r w:rsidR="00EC0EC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мышечная слабость, боль в конечности, боль в костях, дискомфорт в конечностях, мышечные спазмы, почечная недостаточность, гематурия, нарушение мочеиспускания, менструальное нарушение, ухудшение общего физического состояния, боль, ощущение изменения температуры тела, повышение уровня 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>ЛДГ</w:t>
      </w:r>
      <w:r w:rsidR="00EC0EC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в крови, повышение уровня 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>СРБ</w:t>
      </w:r>
      <w:r w:rsidR="00EC0EC6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повышение уровня креатинина в крови, повышение уровня мочевины в крови, снижение показателя гематокрита, повышение 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>МНО</w:t>
      </w:r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6E1248" w:rsidRPr="00807A8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Редко: </w:t>
      </w:r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инфекционный энтерит, септический шок, </w:t>
      </w:r>
      <w:proofErr w:type="spellStart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>дерматофития</w:t>
      </w:r>
      <w:proofErr w:type="spellEnd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стоп,</w:t>
      </w:r>
      <w:bookmarkStart w:id="3" w:name="_Hlk25164566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гранулоцитопения</w:t>
      </w:r>
      <w:bookmarkEnd w:id="3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подагра, гипернатриемия, чувство жжения, </w:t>
      </w:r>
      <w:proofErr w:type="spellStart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>дизестезия</w:t>
      </w:r>
      <w:proofErr w:type="spellEnd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>гиперстезия</w:t>
      </w:r>
      <w:proofErr w:type="spellEnd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>, гипестезия, синкопе, катаракта, диплопия, синдром сухого глаза, нечеткость зрения, снижение остроты зрения, дискомфорт в ухе, эмболия, боль в ротоглотке (</w:t>
      </w:r>
      <w:proofErr w:type="spellStart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>орофарингеальная</w:t>
      </w:r>
      <w:proofErr w:type="spellEnd"/>
      <w:r w:rsidR="006E1248" w:rsidRPr="00807A80">
        <w:rPr>
          <w:rFonts w:ascii="Times New Roman" w:hAnsi="Times New Roman" w:cs="Times New Roman"/>
          <w:color w:val="000000"/>
          <w:sz w:val="18"/>
          <w:szCs w:val="18"/>
        </w:rPr>
        <w:t>), плевральный выпот, асцит, острый панкреатит, частичная кишечная непроходимость, запах изо рта, полип щеки, энтероколит геморрагический,</w:t>
      </w:r>
      <w:r w:rsidR="00A531DD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кровоточивость десен, эзофагит, заболевание пародонта, </w:t>
      </w:r>
      <w:proofErr w:type="spellStart"/>
      <w:r w:rsidR="00A531DD" w:rsidRPr="00807A80">
        <w:rPr>
          <w:rFonts w:ascii="Times New Roman" w:hAnsi="Times New Roman" w:cs="Times New Roman"/>
          <w:color w:val="000000"/>
          <w:sz w:val="18"/>
          <w:szCs w:val="18"/>
        </w:rPr>
        <w:t>прокталгия</w:t>
      </w:r>
      <w:proofErr w:type="spellEnd"/>
      <w:r w:rsidR="00A531DD" w:rsidRPr="00807A80">
        <w:rPr>
          <w:rFonts w:ascii="Times New Roman" w:hAnsi="Times New Roman" w:cs="Times New Roman"/>
          <w:color w:val="000000"/>
          <w:sz w:val="18"/>
          <w:szCs w:val="18"/>
        </w:rPr>
        <w:t>, рефлюкс-гастрит,</w:t>
      </w:r>
      <w:r w:rsidR="00157F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дилатация желчевыводящих путей, пузыри, эритема, реакция фоточувствительности, шелушение кожи, отечность в области суставов, неинфекционный цистит, </w:t>
      </w:r>
      <w:proofErr w:type="spellStart"/>
      <w:r w:rsidR="00157F80" w:rsidRPr="00807A80">
        <w:rPr>
          <w:rFonts w:ascii="Times New Roman" w:hAnsi="Times New Roman" w:cs="Times New Roman"/>
          <w:color w:val="000000"/>
          <w:sz w:val="18"/>
          <w:szCs w:val="18"/>
        </w:rPr>
        <w:t>лейкоцитурия</w:t>
      </w:r>
      <w:proofErr w:type="spellEnd"/>
      <w:r w:rsidR="00157F8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ксероз, удлинение 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>АЧТВ</w:t>
      </w:r>
      <w:r w:rsidR="00157F80" w:rsidRPr="00807A8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удлинение интервала </w:t>
      </w:r>
      <w:r w:rsidR="00747F21" w:rsidRPr="00807A8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QT 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на ЭКГ, снижение уровня общего белка. </w:t>
      </w:r>
      <w:r w:rsidR="00751717" w:rsidRPr="00807A8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Опыт пострегистрационного применения: </w:t>
      </w:r>
      <w:r w:rsidR="00751717" w:rsidRPr="00807A80">
        <w:rPr>
          <w:rFonts w:ascii="Times New Roman" w:hAnsi="Times New Roman" w:cs="Times New Roman"/>
          <w:color w:val="000000"/>
          <w:sz w:val="18"/>
          <w:szCs w:val="18"/>
        </w:rPr>
        <w:t>интерстициальн</w:t>
      </w:r>
      <w:r w:rsidR="000968BA" w:rsidRPr="00807A80">
        <w:rPr>
          <w:rFonts w:ascii="Times New Roman" w:hAnsi="Times New Roman" w:cs="Times New Roman"/>
          <w:color w:val="000000"/>
          <w:sz w:val="18"/>
          <w:szCs w:val="18"/>
        </w:rPr>
        <w:t>ая</w:t>
      </w:r>
      <w:r w:rsidR="0075171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болезн</w:t>
      </w:r>
      <w:r w:rsidR="000968BA" w:rsidRPr="00807A80">
        <w:rPr>
          <w:rFonts w:ascii="Times New Roman" w:hAnsi="Times New Roman" w:cs="Times New Roman"/>
          <w:color w:val="000000"/>
          <w:sz w:val="18"/>
          <w:szCs w:val="18"/>
        </w:rPr>
        <w:t>ь</w:t>
      </w:r>
      <w:r w:rsidR="0075171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легких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Передозировка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Фармакологические свойства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Трифлуридин </w:t>
      </w:r>
      <w:r w:rsidR="008B5CC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– 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>противоопухолев</w:t>
      </w:r>
      <w:r w:rsidR="008B5CC0" w:rsidRPr="00807A80">
        <w:rPr>
          <w:rFonts w:ascii="Times New Roman" w:hAnsi="Times New Roman" w:cs="Times New Roman"/>
          <w:color w:val="000000"/>
          <w:sz w:val="18"/>
          <w:szCs w:val="18"/>
        </w:rPr>
        <w:t>ый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аналог нуклеозида тимидина</w:t>
      </w:r>
      <w:r w:rsidR="00B16B9C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а </w:t>
      </w:r>
      <w:proofErr w:type="spellStart"/>
      <w:r w:rsidR="00B16B9C" w:rsidRPr="00807A80">
        <w:rPr>
          <w:rFonts w:ascii="Times New Roman" w:hAnsi="Times New Roman" w:cs="Times New Roman"/>
          <w:color w:val="000000"/>
          <w:sz w:val="18"/>
          <w:szCs w:val="18"/>
        </w:rPr>
        <w:t>типирацила</w:t>
      </w:r>
      <w:proofErr w:type="spellEnd"/>
      <w:r w:rsidR="00B16B9C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гидрохлорид – ингибитор </w:t>
      </w:r>
      <w:proofErr w:type="spellStart"/>
      <w:r w:rsidR="00B16B9C" w:rsidRPr="00807A80">
        <w:rPr>
          <w:rFonts w:ascii="Times New Roman" w:hAnsi="Times New Roman" w:cs="Times New Roman"/>
          <w:color w:val="000000"/>
          <w:sz w:val="18"/>
          <w:szCs w:val="18"/>
        </w:rPr>
        <w:t>тимидинфосфорилазы</w:t>
      </w:r>
      <w:proofErr w:type="spellEnd"/>
      <w:r w:rsidR="00B16B9C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(ТФ)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. После попадания в раковые клетки трифлуридин </w:t>
      </w:r>
      <w:proofErr w:type="spellStart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>фосфорилируется</w:t>
      </w:r>
      <w:proofErr w:type="spellEnd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>тимидинкиназой</w:t>
      </w:r>
      <w:proofErr w:type="spellEnd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, далее метаболизируется в клетках до субстрата ДНК и непосредственно </w:t>
      </w:r>
      <w:r w:rsidR="00F34CE9">
        <w:rPr>
          <w:rFonts w:ascii="Times New Roman" w:hAnsi="Times New Roman" w:cs="Times New Roman"/>
          <w:color w:val="000000"/>
          <w:sz w:val="18"/>
          <w:szCs w:val="18"/>
        </w:rPr>
        <w:t>встраивается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в ДНК, предотвращая пролиферацию клеток. 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Однако </w:t>
      </w:r>
      <w:r w:rsidR="00F34CE9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после перорального приема </w:t>
      </w:r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трифлуридин быстро распадается под действием ТФ и легко метаболизируется при первом прохождении через печень; поэтому в состав включен ингибитор </w:t>
      </w:r>
      <w:proofErr w:type="spellStart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>ТФазы</w:t>
      </w:r>
      <w:proofErr w:type="spellEnd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>типирацила</w:t>
      </w:r>
      <w:proofErr w:type="spellEnd"/>
      <w:r w:rsidR="00685150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гидрохлорид.</w:t>
      </w:r>
      <w:r w:rsidR="00747F21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6507" w:rsidRPr="00807A80">
        <w:rPr>
          <w:rFonts w:ascii="Times New Roman" w:hAnsi="Times New Roman" w:cs="Times New Roman"/>
          <w:color w:val="CD0066"/>
          <w:sz w:val="18"/>
          <w:szCs w:val="18"/>
        </w:rPr>
        <w:t>Форма выпуска</w:t>
      </w:r>
      <w:r w:rsidR="00AF3660" w:rsidRPr="00807A80">
        <w:rPr>
          <w:rFonts w:ascii="Times New Roman" w:hAnsi="Times New Roman" w:cs="Times New Roman"/>
          <w:color w:val="CD0066"/>
          <w:sz w:val="18"/>
          <w:szCs w:val="18"/>
        </w:rPr>
        <w:t>*</w:t>
      </w:r>
      <w:r w:rsidR="006D1417" w:rsidRPr="00807A80">
        <w:rPr>
          <w:rFonts w:ascii="Times New Roman" w:hAnsi="Times New Roman" w:cs="Times New Roman"/>
          <w:color w:val="CD0066"/>
          <w:sz w:val="18"/>
          <w:szCs w:val="18"/>
        </w:rPr>
        <w:t xml:space="preserve"> </w:t>
      </w:r>
      <w:r w:rsidR="004F3735" w:rsidRPr="00807A80">
        <w:rPr>
          <w:rFonts w:ascii="Times New Roman" w:hAnsi="Times New Roman" w:cs="Times New Roman"/>
          <w:color w:val="000D4D"/>
          <w:sz w:val="18"/>
          <w:szCs w:val="18"/>
        </w:rPr>
        <w:t xml:space="preserve">АО «Сервье». </w:t>
      </w:r>
      <w:r w:rsidR="004F3735" w:rsidRPr="00807A80">
        <w:rPr>
          <w:rFonts w:ascii="Times New Roman" w:hAnsi="Times New Roman" w:cs="Times New Roman"/>
          <w:color w:val="000000"/>
          <w:sz w:val="18"/>
          <w:szCs w:val="18"/>
        </w:rPr>
        <w:t>125196, Российская Федерация, г. Москва, ул. Лесная, д.7. тел. +7(495) 937 07 00</w:t>
      </w:r>
      <w:r w:rsidR="00040633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  <w:lang w:val="en-US"/>
        </w:rPr>
        <w:t>servier.ru</w:t>
      </w:r>
      <w:r w:rsidR="00E07867" w:rsidRPr="00807A80">
        <w:rPr>
          <w:rFonts w:ascii="Times New Roman" w:hAnsi="Times New Roman" w:cs="Times New Roman"/>
          <w:color w:val="000000"/>
          <w:sz w:val="18"/>
          <w:szCs w:val="18"/>
        </w:rPr>
        <w:t xml:space="preserve"> *Для получения полной информации, пожалуйста, обратитесь к общей характеристике лекарственного препарата.</w:t>
      </w:r>
    </w:p>
    <w:sectPr w:rsidR="00AF3660" w:rsidRPr="0080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F8"/>
    <w:rsid w:val="00006E6B"/>
    <w:rsid w:val="00040633"/>
    <w:rsid w:val="00056921"/>
    <w:rsid w:val="000968BA"/>
    <w:rsid w:val="00157F80"/>
    <w:rsid w:val="001841D6"/>
    <w:rsid w:val="001C5B95"/>
    <w:rsid w:val="001E3E75"/>
    <w:rsid w:val="00233FBB"/>
    <w:rsid w:val="0028266A"/>
    <w:rsid w:val="002A3230"/>
    <w:rsid w:val="00324809"/>
    <w:rsid w:val="00326AF8"/>
    <w:rsid w:val="003539B6"/>
    <w:rsid w:val="00356507"/>
    <w:rsid w:val="00371C04"/>
    <w:rsid w:val="003B207B"/>
    <w:rsid w:val="003E071D"/>
    <w:rsid w:val="00434142"/>
    <w:rsid w:val="00461178"/>
    <w:rsid w:val="00477FDA"/>
    <w:rsid w:val="00494B92"/>
    <w:rsid w:val="00497E98"/>
    <w:rsid w:val="004B5B0D"/>
    <w:rsid w:val="004F3735"/>
    <w:rsid w:val="00540FFE"/>
    <w:rsid w:val="0055799B"/>
    <w:rsid w:val="00573B4E"/>
    <w:rsid w:val="005E6F88"/>
    <w:rsid w:val="00623F44"/>
    <w:rsid w:val="00685150"/>
    <w:rsid w:val="006915E3"/>
    <w:rsid w:val="006C335B"/>
    <w:rsid w:val="006D1417"/>
    <w:rsid w:val="006E1248"/>
    <w:rsid w:val="0072172C"/>
    <w:rsid w:val="00733E2A"/>
    <w:rsid w:val="00747F21"/>
    <w:rsid w:val="00751717"/>
    <w:rsid w:val="00754277"/>
    <w:rsid w:val="00761882"/>
    <w:rsid w:val="007754D7"/>
    <w:rsid w:val="007923E0"/>
    <w:rsid w:val="0079420B"/>
    <w:rsid w:val="007C21A9"/>
    <w:rsid w:val="00807A80"/>
    <w:rsid w:val="0081363C"/>
    <w:rsid w:val="00831480"/>
    <w:rsid w:val="008A5306"/>
    <w:rsid w:val="008B5CC0"/>
    <w:rsid w:val="008B60D9"/>
    <w:rsid w:val="008C46A6"/>
    <w:rsid w:val="008D661C"/>
    <w:rsid w:val="008E36F7"/>
    <w:rsid w:val="00911C10"/>
    <w:rsid w:val="009614AD"/>
    <w:rsid w:val="00A531DD"/>
    <w:rsid w:val="00A95FFE"/>
    <w:rsid w:val="00AA3359"/>
    <w:rsid w:val="00AC3CA0"/>
    <w:rsid w:val="00AF3660"/>
    <w:rsid w:val="00B16B9C"/>
    <w:rsid w:val="00B20EB6"/>
    <w:rsid w:val="00B43419"/>
    <w:rsid w:val="00B80E71"/>
    <w:rsid w:val="00B822E8"/>
    <w:rsid w:val="00BD1FC5"/>
    <w:rsid w:val="00C4005B"/>
    <w:rsid w:val="00C41809"/>
    <w:rsid w:val="00CC5477"/>
    <w:rsid w:val="00D340E2"/>
    <w:rsid w:val="00DD5AFA"/>
    <w:rsid w:val="00E0626F"/>
    <w:rsid w:val="00E07867"/>
    <w:rsid w:val="00E31D0A"/>
    <w:rsid w:val="00E77B17"/>
    <w:rsid w:val="00E9161F"/>
    <w:rsid w:val="00EC0EC6"/>
    <w:rsid w:val="00EC2913"/>
    <w:rsid w:val="00ED201A"/>
    <w:rsid w:val="00ED4198"/>
    <w:rsid w:val="00EF5768"/>
    <w:rsid w:val="00F26A3D"/>
    <w:rsid w:val="00F34CE9"/>
    <w:rsid w:val="00F4714A"/>
    <w:rsid w:val="00F55BEC"/>
    <w:rsid w:val="00F91B92"/>
    <w:rsid w:val="00F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6192"/>
  <w15:chartTrackingRefBased/>
  <w15:docId w15:val="{63BEB772-0570-452E-AF48-D54740E7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650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650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650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650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650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507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81363C"/>
    <w:pPr>
      <w:spacing w:after="0" w:line="240" w:lineRule="auto"/>
    </w:pPr>
  </w:style>
  <w:style w:type="paragraph" w:customStyle="1" w:styleId="Default">
    <w:name w:val="Default"/>
    <w:rsid w:val="00813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8266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078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7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ZAVYALOV Aleksandr RUSSIA</dc:creator>
  <cp:keywords/>
  <dc:description/>
  <cp:lastModifiedBy>Aleksandr ZAVYALOV</cp:lastModifiedBy>
  <cp:revision>48</cp:revision>
  <dcterms:created xsi:type="dcterms:W3CDTF">2020-01-29T08:54:00Z</dcterms:created>
  <dcterms:modified xsi:type="dcterms:W3CDTF">2025-10-07T13:24:00Z</dcterms:modified>
</cp:coreProperties>
</file>