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8C17" w14:textId="70810025" w:rsidR="00AF0F7A" w:rsidRDefault="00AF0F7A" w:rsidP="00AF3660">
      <w:pPr>
        <w:autoSpaceDE w:val="0"/>
        <w:autoSpaceDN w:val="0"/>
        <w:adjustRightInd w:val="0"/>
        <w:spacing w:after="0" w:line="240" w:lineRule="auto"/>
        <w:rPr>
          <w:rFonts w:ascii="HelveticaNeueLTStd-BdCn" w:hAnsi="HelveticaNeueLTStd-BdCn" w:cs="HelveticaNeueLTStd-BdCn"/>
          <w:color w:val="CD0066"/>
          <w:sz w:val="18"/>
          <w:szCs w:val="18"/>
        </w:rPr>
      </w:pPr>
      <w:r w:rsidRPr="00AF0F7A">
        <w:rPr>
          <w:rFonts w:ascii="HelveticaNeueLTStd-BdCn" w:hAnsi="HelveticaNeueLTStd-BdCn" w:cs="HelveticaNeueLTStd-BdCn"/>
          <w:color w:val="CD0066"/>
          <w:sz w:val="18"/>
          <w:szCs w:val="18"/>
        </w:rPr>
        <w:t xml:space="preserve">Краткая справочная информация по безопасности – </w:t>
      </w:r>
      <w:r>
        <w:rPr>
          <w:rFonts w:ascii="HelveticaNeueLTStd-BdCn" w:hAnsi="HelveticaNeueLTStd-BdCn" w:cs="HelveticaNeueLTStd-BdCn"/>
          <w:color w:val="CD0066"/>
          <w:sz w:val="18"/>
          <w:szCs w:val="18"/>
        </w:rPr>
        <w:t>пэгаспаргаза</w:t>
      </w:r>
      <w:r w:rsidR="00350740">
        <w:rPr>
          <w:rFonts w:ascii="HelveticaNeueLTStd-BdCn" w:hAnsi="HelveticaNeueLTStd-BdCn" w:cs="HelveticaNeueLTStd-BdCn"/>
          <w:color w:val="CD0066"/>
          <w:sz w:val="18"/>
          <w:szCs w:val="18"/>
        </w:rPr>
        <w:t>.</w:t>
      </w:r>
      <w:r w:rsidRPr="00AF0F7A">
        <w:rPr>
          <w:rFonts w:ascii="HelveticaNeueLTStd-BdCn" w:hAnsi="HelveticaNeueLTStd-BdCn" w:cs="HelveticaNeueLTStd-BdCn"/>
          <w:color w:val="CD0066"/>
          <w:sz w:val="18"/>
          <w:szCs w:val="18"/>
        </w:rPr>
        <w:t xml:space="preserve"> </w:t>
      </w:r>
      <w:r w:rsidR="00181310" w:rsidRPr="00181310">
        <w:rPr>
          <w:rFonts w:ascii="HelveticaNeueLTStd-BdCn" w:hAnsi="HelveticaNeueLTStd-BdCn" w:cs="HelveticaNeueLTStd-BdCn"/>
          <w:color w:val="CD0066"/>
          <w:sz w:val="18"/>
          <w:szCs w:val="18"/>
        </w:rPr>
        <w:t>HQ-0000065</w:t>
      </w:r>
    </w:p>
    <w:p w14:paraId="10A4D818" w14:textId="5D7467D7" w:rsidR="00AF3660" w:rsidRPr="004F3735" w:rsidRDefault="00BD1FC5" w:rsidP="00140AA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18"/>
          <w:szCs w:val="18"/>
        </w:rPr>
      </w:pPr>
      <w:r w:rsidRPr="006E0D0D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С</w:t>
      </w:r>
      <w:r w:rsidR="00356507" w:rsidRPr="006E0D0D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остав</w:t>
      </w:r>
      <w:r w:rsidR="00AF3660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0740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350740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Лиофилизат для приготовления раствора для внутримышечного введения</w:t>
      </w:r>
      <w:r w:rsidR="003507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инфузий. 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Каждый флакон содержит 3750 МЕ пэгаспаргазы.</w:t>
      </w:r>
      <w:r w:rsidR="003507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После восстановления 1 мл раствора содержит 750 МЕ пэгаспаргазы</w:t>
      </w:r>
      <w:r w:rsidR="004B03E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89612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Pr="006E0D0D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 xml:space="preserve">Показания </w:t>
      </w:r>
      <w:r w:rsidR="00AF3660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89612C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89612C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A0650C" w:rsidRPr="00A0650C">
        <w:rPr>
          <w:rFonts w:ascii="HelveticaNeueLTStd-Lt" w:hAnsi="HelveticaNeueLTStd-Lt" w:cs="HelveticaNeueLTStd-Lt"/>
          <w:color w:val="000000"/>
          <w:sz w:val="18"/>
          <w:szCs w:val="18"/>
        </w:rPr>
        <w:t>Онкаспар показан к применению у взрослых и детей в возрасте от рождения до 18 лет для терапии острого лимфобластного лейкоза (ОЛЛ) в комбинации с другими противоопухолевыми препаратами.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Pr="006E0D0D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Режим дозирования и способ применения</w:t>
      </w:r>
      <w:r w:rsidR="00AF3660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6E0D0D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 xml:space="preserve">. </w:t>
      </w:r>
      <w:r w:rsidR="0089612C" w:rsidRPr="0089612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Назначение и введение </w:t>
      </w:r>
      <w:proofErr w:type="spellStart"/>
      <w:r w:rsidR="0089612C" w:rsidRPr="0089612C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89612C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89612C" w:rsidRPr="0089612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должно проводиться врачом или медицинским работником, имеющим опыт применения противоопухолевых препаратов.</w:t>
      </w:r>
      <w:r w:rsidR="0089612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6E0D0D" w:rsidRP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Его следует вводить только в условиях стационара, где 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>есть</w:t>
      </w:r>
      <w:r w:rsidR="006E0D0D" w:rsidRP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соответствующее реанимационное оборудование.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Обычно Онкаспар используют 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в составе 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комбинированной терапии с другими 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>противоопухолевыми препаратами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113499" w:rsidRPr="00113499">
        <w:t xml:space="preserve"> </w:t>
      </w:r>
      <w:r w:rsidR="00C2115D" w:rsidRPr="00C2115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 xml:space="preserve">Рекомендуемая </w:t>
      </w:r>
      <w:proofErr w:type="spellStart"/>
      <w:r w:rsidR="00C2115D" w:rsidRPr="00C2115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премедикация</w:t>
      </w:r>
      <w:proofErr w:type="spellEnd"/>
      <w:proofErr w:type="gramStart"/>
      <w:r w:rsidR="00C2115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:</w:t>
      </w:r>
      <w:r w:rsidR="00113499" w:rsidRPr="0011349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16774">
        <w:rPr>
          <w:rFonts w:ascii="HelveticaNeueLTStd-Lt" w:hAnsi="HelveticaNeueLTStd-Lt" w:cs="HelveticaNeueLTStd-Lt"/>
          <w:color w:val="000000"/>
          <w:sz w:val="18"/>
          <w:szCs w:val="18"/>
        </w:rPr>
        <w:t>З</w:t>
      </w:r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gram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30-60 минут до введения </w:t>
      </w:r>
      <w:proofErr w:type="spellStart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Онкаспара</w:t>
      </w:r>
      <w:proofErr w:type="spell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назначается парацетамол, блокатор H-1 </w:t>
      </w:r>
      <w:proofErr w:type="spellStart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гистаминовых</w:t>
      </w:r>
      <w:proofErr w:type="spell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рецепторов (например, </w:t>
      </w:r>
      <w:proofErr w:type="spellStart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дифенгидрамин</w:t>
      </w:r>
      <w:proofErr w:type="spell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) и блокатор H-2 </w:t>
      </w:r>
      <w:proofErr w:type="spellStart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гистаминовых</w:t>
      </w:r>
      <w:proofErr w:type="spell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рецепторов (например, фамотидин), чтобы снизить риск и тяжесть реакций, связанных как с инфузией, так и с</w:t>
      </w:r>
      <w:r w:rsid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гиперчувствительностью</w:t>
      </w:r>
      <w:r w:rsidR="00113499" w:rsidRPr="00113499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Дети</w:t>
      </w:r>
      <w:r w:rsidR="00D45C15" w:rsidRPr="006E0D0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 xml:space="preserve"> и взрослые до 21 года включительно</w:t>
      </w:r>
      <w:r w:rsidR="004B03E3" w:rsidRPr="006E0D0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:</w:t>
      </w:r>
      <w:r w:rsidR="00D61389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 xml:space="preserve"> 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Рекомендуемая доза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для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пациентов с площадью поверхности тела (ППТ) </w:t>
      </w:r>
      <w:r w:rsidR="004B03E3" w:rsidRPr="00B6764A">
        <w:rPr>
          <w:rFonts w:cs="HelveticaNeueLTStd-Lt"/>
          <w:color w:val="000000"/>
          <w:sz w:val="18"/>
          <w:szCs w:val="18"/>
          <w:u w:val="single"/>
        </w:rPr>
        <w:t>&gt;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0,6 м2 составляет 2500 МЕ (эквивалентно 3,3 мл препарата) на 1 м2 </w:t>
      </w:r>
      <w:r w:rsidR="00B65009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>ППТ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каждые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14 дней.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Детям с </w:t>
      </w:r>
      <w:r w:rsidR="00B65009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>ППТ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B65009" w:rsidRPr="00B6764A">
        <w:rPr>
          <w:rFonts w:cs="HelveticaNeueLTStd-Lt"/>
          <w:color w:val="000000"/>
          <w:sz w:val="18"/>
          <w:szCs w:val="18"/>
        </w:rPr>
        <w:t>&lt;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0,6 м² вводят 82,5 МЕ (0,1 мл препарата) на 1 кг массы тела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каждые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14 дней</w:t>
      </w:r>
      <w:r w:rsidR="00B65009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6E0D0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Взрослые старше 21 года</w:t>
      </w:r>
      <w:proofErr w:type="gramStart"/>
      <w:r w:rsidR="00B65009" w:rsidRPr="006E0D0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:</w:t>
      </w:r>
      <w:r w:rsidR="00D61389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Если</w:t>
      </w:r>
      <w:proofErr w:type="gramEnd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 указано иное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рекомендуемая доза 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2000 МЕ (эквивалентно 2,67 мл препарата) на 1 м2 площади поверхности тела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каждые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14 дней.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Онкаспар применяют </w:t>
      </w:r>
      <w:r w:rsidR="00D61389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внутримышечно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(в/м) или с помощью 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>внутривенн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ых (в/в) инфузий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>
        <w:rPr>
          <w:rFonts w:ascii="HelveticaNeueLTStd-Lt" w:hAnsi="HelveticaNeueLTStd-Lt" w:cs="HelveticaNeueLTStd-Lt"/>
          <w:color w:val="000000"/>
          <w:sz w:val="18"/>
          <w:szCs w:val="18"/>
        </w:rPr>
        <w:t>Для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небольших объемов предпочтител</w:t>
      </w:r>
      <w:r w:rsidR="00416053">
        <w:rPr>
          <w:rFonts w:ascii="HelveticaNeueLTStd-Lt" w:hAnsi="HelveticaNeueLTStd-Lt" w:cs="HelveticaNeueLTStd-Lt"/>
          <w:color w:val="000000"/>
          <w:sz w:val="18"/>
          <w:szCs w:val="18"/>
        </w:rPr>
        <w:t>ен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в/м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путь введения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При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в/м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назначении одномоментно вводимый объем не должен превышать 2 мл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детей и 3 мл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взрослых. При необходимости введения большего объема его следует ввести посредством нескольких инъекций в разные места.</w:t>
      </w:r>
      <w:r w:rsid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в/в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инфузии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Онкаспар должен вводиться в течение </w:t>
      </w:r>
      <w:proofErr w:type="gramStart"/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1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-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2</w:t>
      </w:r>
      <w:proofErr w:type="gramEnd"/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часов в 100 мл 0,9 % раствора натрия хлорида или 5 % раствора глюкозы.</w:t>
      </w:r>
      <w:r w:rsid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Не следует вводить другие препараты одновременно по одной и той же системе для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в/в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инфузий, что и Онкаспар.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8B60D9" w:rsidRPr="00F538B8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Противопоказания</w:t>
      </w:r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351DFB">
        <w:rPr>
          <w:rFonts w:ascii="HelveticaNeueLTStd-Bd" w:hAnsi="HelveticaNeueLTStd-Bd" w:cs="HelveticaNeueLTStd-Bd"/>
          <w:color w:val="CD0066"/>
          <w:sz w:val="18"/>
          <w:szCs w:val="18"/>
        </w:rPr>
        <w:t>.</w:t>
      </w:r>
      <w:r w:rsidR="004F3FC1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bookmarkStart w:id="0" w:name="_Hlk25164773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Гиперчувствительность к пэгаспаргазе или к любому из вспомогательных веществ, перечисленных в разделе </w:t>
      </w:r>
      <w:r w:rsidR="004F3FC1">
        <w:rPr>
          <w:rFonts w:ascii="HelveticaNeueLTStd-Lt" w:hAnsi="HelveticaNeueLTStd-Lt" w:cs="HelveticaNeueLTStd-Lt"/>
          <w:color w:val="000000"/>
          <w:sz w:val="18"/>
          <w:szCs w:val="18"/>
        </w:rPr>
        <w:t>Перечень вспомогательных веществ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4F3FC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Тяжелая печеночная</w:t>
      </w:r>
      <w:r w:rsidR="004F3FC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недостаточность.</w:t>
      </w:r>
      <w:r w:rsidR="004F3FC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Тяжелые тромбозы, связанные с терапией L-аспарагиназой в анамнезе.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Наличие в анамнезе панкреатита, включая панкреатит, связанный с предыдущей терапией L-аспарагиназой (см. </w:t>
      </w:r>
      <w:r w:rsidR="00740D6D">
        <w:rPr>
          <w:rFonts w:ascii="HelveticaNeueLTStd-Lt" w:hAnsi="HelveticaNeueLTStd-Lt" w:cs="HelveticaNeueLTStd-Lt"/>
          <w:color w:val="000000"/>
          <w:sz w:val="18"/>
          <w:szCs w:val="18"/>
        </w:rPr>
        <w:t>Особые указания</w:t>
      </w:r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>)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Тяжелые геморрагические осложнения, связанные с терапией L-аспарагиназой в анамнезе (см. </w:t>
      </w:r>
      <w:r w:rsidR="00740D6D">
        <w:rPr>
          <w:rFonts w:ascii="HelveticaNeueLTStd-Lt" w:hAnsi="HelveticaNeueLTStd-Lt" w:cs="HelveticaNeueLTStd-Lt"/>
          <w:color w:val="000000"/>
          <w:sz w:val="18"/>
          <w:szCs w:val="18"/>
        </w:rPr>
        <w:t>Особые указания</w:t>
      </w:r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>)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bookmarkEnd w:id="0"/>
      <w:r w:rsidR="00356507" w:rsidRPr="00F538B8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Особые указания</w:t>
      </w:r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351DFB">
        <w:rPr>
          <w:rFonts w:ascii="HelveticaNeueLTStd-Bd" w:hAnsi="HelveticaNeueLTStd-Bd" w:cs="HelveticaNeueLTStd-Bd"/>
          <w:color w:val="CD0066"/>
          <w:sz w:val="18"/>
          <w:szCs w:val="18"/>
        </w:rPr>
        <w:t>.</w:t>
      </w:r>
      <w:r w:rsidR="00F538B8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Антитела к аспарагиназе</w:t>
      </w:r>
      <w:r w:rsid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В связи с потенциальной нейтрализующей активностью антител к аспарагиназе их выработка может сопровождаться снижением активности аспарагиназы.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Г</w:t>
      </w:r>
      <w:r w:rsidR="00416053" w:rsidRP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иперчувствительност</w:t>
      </w:r>
      <w:r w:rsid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ь: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Реакции гиперчувствительности, включая </w:t>
      </w:r>
      <w:r w:rsidR="00F538B8" w:rsidRPr="00F538B8">
        <w:rPr>
          <w:rFonts w:ascii="HelveticaNeueLTStd-Lt" w:hAnsi="HelveticaNeueLTStd-Lt" w:cs="HelveticaNeueLTStd-Lt"/>
          <w:color w:val="000000"/>
          <w:sz w:val="18"/>
          <w:szCs w:val="18"/>
        </w:rPr>
        <w:t>опасную для жизни анафилаксию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в том числе у пациентов с 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повышенной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ч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увствительност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ью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к препаратам аспарагиназы, 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получаемой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из E.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coli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За </w:t>
      </w:r>
      <w:proofErr w:type="gramStart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>30-60</w:t>
      </w:r>
      <w:proofErr w:type="gramEnd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минут до введения </w:t>
      </w:r>
      <w:proofErr w:type="spellStart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D16774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пациентам должна быть проведена </w:t>
      </w:r>
      <w:proofErr w:type="spellStart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>премедикация</w:t>
      </w:r>
      <w:proofErr w:type="spellEnd"/>
      <w:r w:rsidR="00D16774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Другие реакции гиперчувствительности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включая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ангионевротический отек, отек губ или глаз, эритему, снижение артериального давления, бронхоспазм, одышку, зуд и сыпь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У пациентов с серьезными реакциями гиперчувствительности 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введение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олжно быть прекращено.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Влияние на поджелудочную железу</w:t>
      </w:r>
      <w:proofErr w:type="gramStart"/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Наблюдалось</w:t>
      </w:r>
      <w:proofErr w:type="gramEnd"/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развитие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панкреатита, включая геморрагический и некротизирующий с летальным исходом.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Пациенты должны быть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информированы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признаках 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симптомах панкреатита, которы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гут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привести к летальному исходу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при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отсутстви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лечения.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 подозрении на панкреатит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терапия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Онкаспар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должн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быть прекращен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а; п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ри подтверждении диагноза панкреатита </w:t>
      </w:r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>терапию Онкаспар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возобновлять не следует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EC3C3A">
        <w:rPr>
          <w:rFonts w:cs="HelveticaNeueLTStd-Lt"/>
          <w:color w:val="000000"/>
          <w:sz w:val="18"/>
          <w:szCs w:val="18"/>
          <w:lang w:val="en-US"/>
        </w:rPr>
        <w:t xml:space="preserve"> </w:t>
      </w:r>
      <w:r w:rsidR="00416053" w:rsidRP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Коагулопатия</w:t>
      </w:r>
      <w:proofErr w:type="gramStart"/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:</w:t>
      </w:r>
      <w:r w:rsidR="0082081A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Возможно</w:t>
      </w:r>
      <w:proofErr w:type="gramEnd"/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развитие т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яжелы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х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тромбоз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ов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в том числе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тромбоз сагиттального синуса. У пациентов с тяжелыми тромбозами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введение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следует прекратить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82081A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Показатели коагуляции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следует контролировать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перед началом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терапии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периодически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во время и после лечения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25779D" w:rsidRPr="0025779D">
        <w:t xml:space="preserve"> </w:t>
      </w:r>
      <w:proofErr w:type="spellStart"/>
      <w:r w:rsidR="00FD46B9">
        <w:rPr>
          <w:rFonts w:ascii="HelveticaNeueLTStd-Lt" w:hAnsi="HelveticaNeueLTStd-Lt" w:cs="HelveticaNeueLTStd-Lt"/>
          <w:i/>
          <w:color w:val="000000"/>
          <w:sz w:val="18"/>
          <w:szCs w:val="18"/>
        </w:rPr>
        <w:t>Остеонекроз</w:t>
      </w:r>
      <w:proofErr w:type="spellEnd"/>
      <w:proofErr w:type="gramStart"/>
      <w:r w:rsidR="0025779D" w:rsidRPr="0025779D">
        <w:rPr>
          <w:rFonts w:ascii="HelveticaNeueLTStd-Lt" w:hAnsi="HelveticaNeueLTStd-Lt" w:cs="HelveticaNeueLTStd-Lt"/>
          <w:i/>
          <w:color w:val="000000"/>
          <w:sz w:val="18"/>
          <w:szCs w:val="18"/>
        </w:rPr>
        <w:t>: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При</w:t>
      </w:r>
      <w:proofErr w:type="gramEnd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совместном применении с </w:t>
      </w:r>
      <w:proofErr w:type="spellStart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глюкокортикостероидами</w:t>
      </w:r>
      <w:proofErr w:type="spellEnd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остеонекроз</w:t>
      </w:r>
      <w:proofErr w:type="spellEnd"/>
      <w:r w:rsid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(аваскулярный некроз) является возможным осложнением </w:t>
      </w:r>
      <w:proofErr w:type="spellStart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гиперкоагуляции</w:t>
      </w:r>
      <w:proofErr w:type="spellEnd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, которое</w:t>
      </w:r>
      <w:r w:rsid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отмечается у детей и подростков, чаще у девочек. </w:t>
      </w:r>
      <w:r w:rsidR="00E95584">
        <w:rPr>
          <w:rFonts w:ascii="HelveticaNeueLTStd-Lt" w:hAnsi="HelveticaNeueLTStd-Lt" w:cs="HelveticaNeueLTStd-Lt"/>
          <w:color w:val="000000"/>
          <w:sz w:val="18"/>
          <w:szCs w:val="18"/>
        </w:rPr>
        <w:t>Ре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комендуется тщательное наблюдение за пациентами детского и подросткового возраста. Клиническое</w:t>
      </w:r>
      <w:r w:rsid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суждение лечащего врача должно определять план терапии каждого пациента на основе</w:t>
      </w:r>
      <w:r w:rsid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индивидуальной оценки пользы/риска.</w:t>
      </w:r>
      <w:r w:rsidR="002B2330" w:rsidRPr="002B2330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Влияние на печень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:</w:t>
      </w:r>
      <w:r w:rsidR="0082081A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>Комбинированная терапия Онкаспар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 другими гепатотоксичными препаратами может оказывать тяжелое токсическое действие на печень.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Необходимо соблюдать осторожность при назначении </w:t>
      </w:r>
      <w:proofErr w:type="spellStart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 сочетании с гепатотоксичными препаратами, особенно при наличии нарушений функции печени.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У пациента должны контролироваться изменения показателей функции печени.</w:t>
      </w:r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Наблюдалась </w:t>
      </w:r>
      <w:proofErr w:type="spellStart"/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>веноокклюзионная</w:t>
      </w:r>
      <w:proofErr w:type="spellEnd"/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болезнь печени (ВОБ), включая тяжелые, опасные для жизни и потенциально смертельные случаи.</w:t>
      </w:r>
      <w:r w:rsidR="001562B6" w:rsidRPr="001562B6">
        <w:t xml:space="preserve"> </w:t>
      </w:r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Признаки и симптомы ВОБ включают быстрое увеличение веса, задержку жидкости с асцитом, </w:t>
      </w:r>
      <w:proofErr w:type="spellStart"/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>гепатомегалию</w:t>
      </w:r>
      <w:proofErr w:type="spellEnd"/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>, тромбоцитопению и быстрое повышение билирубина.</w:t>
      </w:r>
      <w:r w:rsidR="001562B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>Для предотвращения ВОБ требуется выявление факторов риска, таких как имеющееся заболевание печени или ВОБ в анамнезе</w:t>
      </w:r>
      <w:r w:rsidR="001562B6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1562B6" w:rsidRPr="001562B6">
        <w:t xml:space="preserve"> </w:t>
      </w:r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>Пациентов с этим заболеванием следует лечить в соответствии со стандартной медицинской практикой.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Влияние на центральную нервную систему</w:t>
      </w:r>
      <w:r w:rsidR="0082081A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(ЦНС)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Комбинированная терапия с Онкаспар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отказывать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токсическ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ое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действие на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>ЦНС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BE0846" w:rsidRP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Сообщалось о случаях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энцефалопатии, включая синдром обратимой задней лейкоэнцефалопатии.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Онкаспар может вызывать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признаки 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симптомы со стороны 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>ЦНС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, такие как сонливость, спутанность сознания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судороги. Пациенты должны находиться под пристальным наблюдением для выявления этих </w:t>
      </w:r>
      <w:r w:rsidR="00BE0846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симптомов,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примен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ении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 комбинации с нейротоксичными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препаратами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например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винкристин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метотрексат.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Миелосупрессия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Пэгаспаргаза может вызывать миелосупрессию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прямо или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косвенно.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Таким образом,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применение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приводить к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увеличению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риска инфекций.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Гипераммониемия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В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нутривенное введение аспарагиназы может приводить к резкому повышению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концентрации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аммония в сыворотке.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Симптомы гипераммониемии часто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носят преходящий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характер и могут включать тошноту, рвоту, головную боль, головокружение и сыпь. В тяжелых случаях может развиваться энцефалопатия с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нарушением функции печени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или без нее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особенно у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пожилых людей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что может угрожать жизни или приводить к летальному исходу. При наличии симптомов гипераммониемии следует тщательно контролировать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концентрацию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аммония.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К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онтрацепци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я</w:t>
      </w:r>
      <w:proofErr w:type="gramStart"/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Во время</w:t>
      </w:r>
      <w:proofErr w:type="gram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лечения Онкаспаром и в течение по меньшей мере 6 месяцев после его прекращения следует применять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lastRenderedPageBreak/>
        <w:t>надежные методы контрацепции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(</w:t>
      </w:r>
      <w:proofErr w:type="spellStart"/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непероральной</w:t>
      </w:r>
      <w:proofErr w:type="spellEnd"/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)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Содержание натрия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содержит менее 1 ммоль натрия (23 мг)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на дозу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, т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е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по сути не содержит натрия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356507" w:rsidRPr="00F538B8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 xml:space="preserve">Взаимодействие </w:t>
      </w:r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BE0846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. </w:t>
      </w:r>
      <w:r w:rsidR="00FC689D" w:rsidRPr="00FC689D">
        <w:rPr>
          <w:rFonts w:ascii="HelveticaNeueLTStd-Bd" w:hAnsi="HelveticaNeueLTStd-Bd" w:cs="HelveticaNeueLTStd-Bd"/>
          <w:i/>
          <w:iCs/>
          <w:color w:val="CD0066"/>
          <w:sz w:val="18"/>
          <w:szCs w:val="18"/>
        </w:rPr>
        <w:t>С осторожностью</w:t>
      </w:r>
      <w:r w:rsidR="00FC689D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: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Снижение пэгаспаргазой концентрации 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белков в сыворотке крови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может повысить токсичность других лекарств, связ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анных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 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>белк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ами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 сыворотке крови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Метотрексат и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цитарабин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могут 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>по-разному взаимодействовать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 Онкаспа</w:t>
      </w:r>
      <w:r w:rsidR="00936482">
        <w:rPr>
          <w:rFonts w:ascii="HelveticaNeueLTStd-Lt" w:hAnsi="HelveticaNeueLTStd-Lt" w:cs="HelveticaNeueLTStd-Lt"/>
          <w:color w:val="000000"/>
          <w:sz w:val="18"/>
          <w:szCs w:val="18"/>
        </w:rPr>
        <w:t>ром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: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их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предшествующее применение может синергетически усиливать действие пэгаспаргазы. Пэгаспаргаза может влия</w:t>
      </w:r>
      <w:r w:rsidR="00936482">
        <w:rPr>
          <w:rFonts w:ascii="HelveticaNeueLTStd-Lt" w:hAnsi="HelveticaNeueLTStd-Lt" w:cs="HelveticaNeueLTStd-Lt"/>
          <w:color w:val="000000"/>
          <w:sz w:val="18"/>
          <w:szCs w:val="18"/>
        </w:rPr>
        <w:t>ть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на метаболизм и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выведение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других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лекарственных средств, учитывая ее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влияни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я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на синтез белк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функцию печени, 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>а также совместное применение с другими химиотерапевтическими препаратами, которые взаимодействуют с Р450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Применение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сопровождаться колебаниями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концентраций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факторов свертывания. Это может способствовать кровотечениям и/или тромбозам.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Поэтому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необходима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осторожност</w:t>
      </w:r>
      <w:r w:rsidR="00936482">
        <w:rPr>
          <w:rFonts w:ascii="HelveticaNeueLTStd-Lt" w:hAnsi="HelveticaNeueLTStd-Lt" w:cs="HelveticaNeueLTStd-Lt"/>
          <w:color w:val="000000"/>
          <w:sz w:val="18"/>
          <w:szCs w:val="18"/>
        </w:rPr>
        <w:t>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при одновременном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назначении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антикоагулянтов, таких как кумарин, гепарин, дипиридамол, ацетилсалициловая кислота и другие нестероидные противовоспалительные препараты, или при одновременной химиотерапии по схеме,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включающей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метотрексат, даунорубицин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глюкокортикоиды.</w:t>
      </w:r>
      <w:r w:rsidR="00113499" w:rsidRPr="00113499">
        <w:t xml:space="preserve"> </w:t>
      </w:r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Пэгаспаргаза может повышать риск развития </w:t>
      </w:r>
      <w:proofErr w:type="spellStart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остеонекроза</w:t>
      </w:r>
      <w:proofErr w:type="spellEnd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, вызванного</w:t>
      </w:r>
      <w:r w:rsid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глюкокортикостероидами</w:t>
      </w:r>
      <w:proofErr w:type="spellEnd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, у детей и подростков при их совместном применении, с более</w:t>
      </w:r>
      <w:r w:rsid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высоким риском его появления у девочек из-за потенциального увеличения экспозиции</w:t>
      </w:r>
      <w:r w:rsid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дексаметазона</w:t>
      </w:r>
      <w:r w:rsidR="00E95584" w:rsidRPr="00B6764A">
        <w:rPr>
          <w:rFonts w:cs="HelveticaNeueLTStd-Lt"/>
          <w:color w:val="000000"/>
          <w:sz w:val="18"/>
          <w:szCs w:val="18"/>
        </w:rPr>
        <w:t>.</w:t>
      </w:r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Применение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винкристина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непосредственно до или во время лечения пэгаспаргазой может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увеличивать токсичность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пэгаспаргазы. </w:t>
      </w:r>
      <w:r w:rsidR="00936482">
        <w:rPr>
          <w:rFonts w:ascii="HelveticaNeueLTStd-Lt" w:hAnsi="HelveticaNeueLTStd-Lt" w:cs="HelveticaNeueLTStd-Lt"/>
          <w:color w:val="000000"/>
          <w:sz w:val="18"/>
          <w:szCs w:val="18"/>
        </w:rPr>
        <w:t>В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инкристин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следует вводить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менее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чем за 12 часов до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Одновременная вакцинация живыми вакцинами может </w:t>
      </w:r>
      <w:r w:rsidR="00717A91">
        <w:rPr>
          <w:rFonts w:ascii="HelveticaNeueLTStd-Lt" w:hAnsi="HelveticaNeueLTStd-Lt" w:cs="HelveticaNeueLTStd-Lt"/>
          <w:color w:val="000000"/>
          <w:sz w:val="18"/>
          <w:szCs w:val="18"/>
        </w:rPr>
        <w:t>увеличивать</w:t>
      </w:r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риск тяжелых инфекций, связанных с </w:t>
      </w:r>
      <w:proofErr w:type="spellStart"/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иммуносупрессивным</w:t>
      </w:r>
      <w:proofErr w:type="spellEnd"/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действием пэгаспаргазы, особенностями основного заболевания и комбинированной химиотерапией. </w:t>
      </w:r>
      <w:r w:rsidR="00717A91">
        <w:rPr>
          <w:rFonts w:ascii="HelveticaNeueLTStd-Lt" w:hAnsi="HelveticaNeueLTStd-Lt" w:cs="HelveticaNeueLTStd-Lt"/>
          <w:color w:val="000000"/>
          <w:sz w:val="18"/>
          <w:szCs w:val="18"/>
        </w:rPr>
        <w:t>Поэтому</w:t>
      </w:r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вакцинация живыми вакцинами разрешается не ранее чем через 3 месяца после прекращения </w:t>
      </w:r>
      <w:r w:rsidR="00717A91">
        <w:rPr>
          <w:rFonts w:ascii="HelveticaNeueLTStd-Lt" w:hAnsi="HelveticaNeueLTStd-Lt" w:cs="HelveticaNeueLTStd-Lt"/>
          <w:color w:val="000000"/>
          <w:sz w:val="18"/>
          <w:szCs w:val="18"/>
        </w:rPr>
        <w:t>полного</w:t>
      </w:r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лечения лейкоза.</w:t>
      </w:r>
      <w:r w:rsidR="00717A9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FC689D" w:rsidRPr="00FC689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Не рекоменд</w:t>
      </w:r>
      <w:r w:rsidR="00A061F3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уется</w:t>
      </w:r>
      <w:proofErr w:type="gramStart"/>
      <w:r w:rsidR="00FC689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: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Нельзя</w:t>
      </w:r>
      <w:proofErr w:type="gram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исключить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косвенное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взаимодействие между пэгаспаргазой и пероральными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контрацептивами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: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из-за </w:t>
      </w:r>
      <w:proofErr w:type="spellStart"/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гепатотоксичности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пэгаспаргаза может нарушать печеночный клиренс пероральных контрацептивов.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Поэтому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одновременное применение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с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пероральны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ми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контрацептивами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 рекомендуется. Женщины, способные к деторождению, должны применять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другие методы контрацепции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E54E68" w:rsidRP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EC3C3A" w:rsidRPr="00B6764A">
        <w:rPr>
          <w:rFonts w:cs="HelveticaNeueLTStd-Lt"/>
          <w:color w:val="000000"/>
          <w:sz w:val="18"/>
          <w:szCs w:val="18"/>
        </w:rPr>
        <w:t xml:space="preserve"> </w:t>
      </w:r>
      <w:r w:rsidR="00936482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Фертильность</w:t>
      </w:r>
      <w:r w:rsidR="00936482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>.</w:t>
      </w:r>
      <w:r w:rsidR="00E54E68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 xml:space="preserve"> </w:t>
      </w:r>
      <w:r w:rsidR="00936482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Б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еременност</w:t>
      </w:r>
      <w:r w:rsidR="003E071D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ь</w:t>
      </w:r>
      <w:r w:rsidR="00936482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>.</w:t>
      </w:r>
      <w:r w:rsidR="00356507">
        <w:rPr>
          <w:rFonts w:ascii="HelveticaNeueLTStd-BdCn" w:hAnsi="HelveticaNeueLTStd-BdCn" w:cs="HelveticaNeueLTStd-BdCn"/>
          <w:color w:val="CD0066"/>
          <w:sz w:val="18"/>
          <w:szCs w:val="18"/>
        </w:rPr>
        <w:t xml:space="preserve"> </w:t>
      </w:r>
      <w:r w:rsidR="00205B4D">
        <w:rPr>
          <w:rFonts w:ascii="HelveticaNeueLTStd-BdCn" w:hAnsi="HelveticaNeueLTStd-BdCn" w:cs="HelveticaNeueLTStd-BdCn"/>
          <w:sz w:val="18"/>
          <w:szCs w:val="18"/>
        </w:rPr>
        <w:t>П</w:t>
      </w:r>
      <w:r w:rsidR="00205B4D" w:rsidRPr="00205B4D">
        <w:rPr>
          <w:rFonts w:ascii="HelveticaNeueLTStd-BdCn" w:hAnsi="HelveticaNeueLTStd-BdCn" w:cs="HelveticaNeueLTStd-BdCn"/>
          <w:sz w:val="18"/>
          <w:szCs w:val="18"/>
        </w:rPr>
        <w:t>ротивопоказано.</w:t>
      </w:r>
      <w:r w:rsidR="00E54E68">
        <w:rPr>
          <w:rFonts w:ascii="HelveticaNeueLTStd-BdCn" w:hAnsi="HelveticaNeueLTStd-BdCn" w:cs="HelveticaNeueLTStd-BdCn"/>
          <w:sz w:val="18"/>
          <w:szCs w:val="18"/>
        </w:rPr>
        <w:t xml:space="preserve"> </w:t>
      </w:r>
      <w:r w:rsidR="00936482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Л</w:t>
      </w:r>
      <w:r w:rsidR="003E071D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актация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E54E68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>Г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рудное вскармливание должно быть прекращено во время лечения Онкаспар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может быть возобновлено только после прекращения применения препарата.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05B4D" w:rsidRPr="00A17D3A">
        <w:rPr>
          <w:rFonts w:ascii="HelveticaNeueLTStd-BdCn" w:hAnsi="HelveticaNeueLTStd-BdCn" w:cs="HelveticaNeueLTStd-BdCn"/>
          <w:b/>
          <w:bCs/>
          <w:iCs/>
          <w:caps/>
          <w:color w:val="CD0066"/>
          <w:sz w:val="18"/>
          <w:szCs w:val="18"/>
        </w:rPr>
        <w:t>Контрацепция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E54E68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Пациенты мужского и женского пола должны применять эффективные противозачаточные средства во время лечения и в течение по меньшей мере 6 месяцев после прекращения лечения Онкаспар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Ж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енщины, способные к деторождению, должны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использовать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надежные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методы контрацепции, кроме приема пероральных противозачаточных средств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Влияние на способность управлять транспортными средствами</w:t>
      </w:r>
      <w:r w:rsidR="00AD296B" w:rsidRPr="00B6764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,</w:t>
      </w:r>
      <w:r w:rsidR="00A95FFE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 xml:space="preserve">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механизмами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4C5771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 xml:space="preserve"> 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>Н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аблюдались сонливость, спутанность сознания, головокружение, обморок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судороги</w:t>
      </w:r>
      <w:r w:rsidR="00AF3660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A95FFE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Нежелательные реакции</w:t>
      </w:r>
      <w:r w:rsidR="00A95FFE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 xml:space="preserve"> 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E54E68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79420B" w:rsidRPr="0079420B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Очень часто: </w:t>
      </w:r>
      <w:bookmarkStart w:id="1" w:name="_Hlk25164594"/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фебрильная</w:t>
      </w:r>
      <w:r w:rsidR="00205B4D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79420B" w:rsidRPr="00A95FFE">
        <w:rPr>
          <w:rFonts w:ascii="HelveticaNeueLTStd-Lt" w:hAnsi="HelveticaNeueLTStd-Lt" w:cs="HelveticaNeueLTStd-Lt"/>
          <w:color w:val="000000"/>
          <w:sz w:val="18"/>
          <w:szCs w:val="18"/>
        </w:rPr>
        <w:t>нейтропения,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реакции гиперчувствительности, крапивница, анафилактическая реакция, 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>панкреатит,</w:t>
      </w:r>
      <w:r w:rsidR="0079420B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05B4D" w:rsidRPr="00A95FFE">
        <w:rPr>
          <w:rFonts w:ascii="HelveticaNeueLTStd-Lt" w:hAnsi="HelveticaNeueLTStd-Lt" w:cs="HelveticaNeueLTStd-Lt"/>
          <w:color w:val="000000"/>
          <w:sz w:val="18"/>
          <w:szCs w:val="18"/>
        </w:rPr>
        <w:t>диарея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боль в животе, </w:t>
      </w:r>
      <w:r w:rsidR="00A27A40">
        <w:rPr>
          <w:rFonts w:ascii="HelveticaNeueLTStd-Lt" w:hAnsi="HelveticaNeueLTStd-Lt" w:cs="HelveticaNeueLTStd-Lt"/>
          <w:color w:val="000000"/>
          <w:sz w:val="18"/>
          <w:szCs w:val="18"/>
        </w:rPr>
        <w:t>тошнота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с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нижение аппетита,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гипергликемия,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эмболия, сыпь, снижение массы тела, </w:t>
      </w:r>
      <w:proofErr w:type="spellStart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гипоальбуминемия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повышение концентрации аланинаминотрансферазы, повышение концентрации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аспартатаминотрансферазы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гипертриглицеридемия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, снижение концентрации фибриногена в крови, повышение концентрации липазы, повышение концентрации амилазы, удлинение активированного частичного тромбопластинового времени, повышение концентрации билирубина в крови</w:t>
      </w:r>
      <w:r w:rsidR="00140AAB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140AAB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>снижение уровня антитромбина III</w:t>
      </w:r>
      <w:r w:rsidR="00181310" w:rsidRPr="0018131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181310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181310" w:rsidRPr="00140AAB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181310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снижение количества нейтрофилов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bookmarkEnd w:id="1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79420B">
        <w:rPr>
          <w:rFonts w:ascii="HelveticaNeueLTStd-Lt" w:hAnsi="HelveticaNeueLTStd-Lt" w:cs="HelveticaNeueLTStd-Lt"/>
          <w:i/>
          <w:color w:val="000000"/>
          <w:sz w:val="18"/>
          <w:szCs w:val="18"/>
        </w:rPr>
        <w:t>Ч</w:t>
      </w:r>
      <w:r w:rsidR="0079420B" w:rsidRPr="0079420B">
        <w:rPr>
          <w:rFonts w:ascii="HelveticaNeueLTStd-Lt" w:hAnsi="HelveticaNeueLTStd-Lt" w:cs="HelveticaNeueLTStd-Lt"/>
          <w:i/>
          <w:color w:val="000000"/>
          <w:sz w:val="18"/>
          <w:szCs w:val="18"/>
        </w:rPr>
        <w:t>асто:</w:t>
      </w:r>
      <w:r w:rsidR="00205B4D" w:rsidRPr="00205B4D"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и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нфекции, сепсис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 а</w:t>
      </w:r>
      <w:r w:rsidR="00966D38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немия, </w:t>
      </w:r>
      <w:proofErr w:type="spellStart"/>
      <w:r w:rsidR="00966D38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коагулопатия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г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иперлипидемия, </w:t>
      </w:r>
      <w:proofErr w:type="spellStart"/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гиперхолестеринемия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с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удороги, периферическая моторная нейропатия, обморок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тромбоз, гипоксия,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р</w:t>
      </w:r>
      <w:r w:rsidR="00966D38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>вота, стоматит, асцит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proofErr w:type="spellStart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г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епатотоксичность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, стеатоз печени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 б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оли в конечностях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длинение протромбинового времени, повышение международного нормализованного отношения,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гипокалиемия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, повышение концентрации холестерина в крови, гипофибриногенемия, повышение концентрации гамма-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глутамил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трансферазы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A27A40">
        <w:rPr>
          <w:rFonts w:ascii="HelveticaNeueLTStd-Lt" w:hAnsi="HelveticaNeueLTStd-Lt" w:cs="HelveticaNeueLTStd-Lt"/>
          <w:i/>
          <w:color w:val="000000"/>
          <w:sz w:val="18"/>
          <w:szCs w:val="18"/>
        </w:rPr>
        <w:t>Редко:</w:t>
      </w:r>
      <w:r w:rsidR="00A27A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с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индром задней обратимой </w:t>
      </w:r>
      <w:proofErr w:type="spellStart"/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лейкэнцефалопатии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A27A40">
        <w:rPr>
          <w:rFonts w:ascii="HelveticaNeueLTStd-Lt" w:hAnsi="HelveticaNeueLTStd-Lt" w:cs="HelveticaNeueLTStd-Lt"/>
          <w:color w:val="000000"/>
          <w:sz w:val="18"/>
          <w:szCs w:val="18"/>
        </w:rPr>
        <w:t>г</w:t>
      </w:r>
      <w:r w:rsidR="00A27A40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>еморрагический панкреатит, некроти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зирующ</w:t>
      </w:r>
      <w:r w:rsidR="00A27A40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>ий панкреатит</w:t>
      </w:r>
      <w:r w:rsidR="00A27A40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B54255" w:rsidRPr="00B54255">
        <w:t xml:space="preserve"> </w:t>
      </w:r>
      <w:r w:rsidR="00B54255">
        <w:rPr>
          <w:rFonts w:ascii="HelveticaNeueLTStd-Lt" w:hAnsi="HelveticaNeueLTStd-Lt" w:cs="HelveticaNeueLTStd-Lt"/>
          <w:color w:val="000000"/>
          <w:sz w:val="18"/>
          <w:szCs w:val="18"/>
        </w:rPr>
        <w:t>н</w:t>
      </w:r>
      <w:r w:rsidR="00B54255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екроз клеток печени, желтуха, холестаз, печеночная недостаточность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A17D3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A27A40" w:rsidRPr="00966D38">
        <w:rPr>
          <w:rFonts w:ascii="HelveticaNeueLTStd-Lt" w:hAnsi="HelveticaNeueLTStd-Lt" w:cs="HelveticaNeueLTStd-Lt"/>
          <w:i/>
          <w:color w:val="000000"/>
          <w:sz w:val="18"/>
          <w:szCs w:val="18"/>
        </w:rPr>
        <w:t>Частота неизвестна:</w:t>
      </w:r>
      <w:r w:rsidR="00A27A40" w:rsidRPr="00966D38">
        <w:t xml:space="preserve"> </w:t>
      </w:r>
      <w:r w:rsidR="00A27A40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недостаточность костного мозга, 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анафилактический шок, диабетический кетоацидоз, гипогликемия, спутанность сознания, сонливость, тремор,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острое нарушение мозгового кровообращения, 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>тромбоз верхнего сагиттального синуса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п</w:t>
      </w:r>
      <w:r w:rsidR="00966D38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>севдокисты</w:t>
      </w:r>
      <w:proofErr w:type="spellEnd"/>
      <w:r w:rsidR="00966D38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поджелудочной железы, паротит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 т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оксический эпидермальный некролиз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proofErr w:type="spellStart"/>
      <w:r w:rsidR="00B66BAD">
        <w:rPr>
          <w:rFonts w:ascii="HelveticaNeueLTStd-Lt" w:hAnsi="HelveticaNeueLTStd-Lt" w:cs="HelveticaNeueLTStd-Lt"/>
          <w:color w:val="000000"/>
          <w:sz w:val="18"/>
          <w:szCs w:val="18"/>
        </w:rPr>
        <w:t>остеонекроз</w:t>
      </w:r>
      <w:proofErr w:type="spellEnd"/>
      <w:r w:rsidR="00B66BAD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B66BAD" w:rsidRPr="00B6764A">
        <w:rPr>
          <w:rFonts w:cs="HelveticaNeueLTStd-Lt"/>
          <w:color w:val="000000"/>
          <w:sz w:val="18"/>
          <w:szCs w:val="18"/>
        </w:rPr>
        <w:t xml:space="preserve"> </w:t>
      </w:r>
      <w:r w:rsidR="00C2665E">
        <w:rPr>
          <w:rFonts w:ascii="HelveticaNeueLTStd-Lt" w:hAnsi="HelveticaNeueLTStd-Lt" w:cs="HelveticaNeueLTStd-Lt"/>
          <w:color w:val="000000"/>
          <w:sz w:val="18"/>
          <w:szCs w:val="18"/>
        </w:rPr>
        <w:t>о</w:t>
      </w:r>
      <w:r w:rsidR="00C2665E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страя почечная недостаточность</w:t>
      </w:r>
      <w:r w:rsidR="00C2665E">
        <w:rPr>
          <w:rFonts w:ascii="HelveticaNeueLTStd-Lt" w:hAnsi="HelveticaNeueLTStd-Lt" w:cs="HelveticaNeueLTStd-Lt"/>
          <w:color w:val="000000"/>
          <w:sz w:val="18"/>
          <w:szCs w:val="18"/>
        </w:rPr>
        <w:t>, п</w:t>
      </w:r>
      <w:r w:rsidR="00C2665E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овышение температуры тела</w:t>
      </w:r>
      <w:r w:rsidR="00C2665E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B54255">
        <w:rPr>
          <w:rFonts w:ascii="HelveticaNeueLTStd-Lt" w:hAnsi="HelveticaNeueLTStd-Lt" w:cs="HelveticaNeueLTStd-Lt"/>
          <w:color w:val="000000"/>
          <w:sz w:val="18"/>
          <w:szCs w:val="18"/>
        </w:rPr>
        <w:t>п</w:t>
      </w:r>
      <w:r w:rsidR="00B54255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овышение концентрации мочевины в крови, выработка антител к пэгаспаргазе, снижение количества тромбоцитов, </w:t>
      </w:r>
      <w:proofErr w:type="spellStart"/>
      <w:r w:rsidR="00B54255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гипераммониемия</w:t>
      </w:r>
      <w:proofErr w:type="spellEnd"/>
      <w:r w:rsidR="001562B6" w:rsidRPr="001562B6">
        <w:t xml:space="preserve"> </w:t>
      </w:r>
      <w:r w:rsidR="001562B6">
        <w:t xml:space="preserve"> </w:t>
      </w:r>
      <w:proofErr w:type="spellStart"/>
      <w:r w:rsidR="001562B6">
        <w:rPr>
          <w:rFonts w:ascii="HelveticaNeueLTStd-Lt" w:hAnsi="HelveticaNeueLTStd-Lt" w:cs="HelveticaNeueLTStd-Lt"/>
          <w:color w:val="000000"/>
          <w:sz w:val="18"/>
          <w:szCs w:val="18"/>
        </w:rPr>
        <w:t>в</w:t>
      </w:r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>еноокклюзионная</w:t>
      </w:r>
      <w:proofErr w:type="spellEnd"/>
      <w:r w:rsidR="001562B6" w:rsidRPr="001562B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болезнь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A17D3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Передозировка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A17D3A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 xml:space="preserve">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Фармакологические</w:t>
      </w:r>
      <w:r w:rsidR="00356507" w:rsidRPr="007B3BDE">
        <w:rPr>
          <w:rFonts w:ascii="HelveticaNeueLTStd-BdCn" w:hAnsi="HelveticaNeueLTStd-BdCn" w:cs="HelveticaNeueLTStd-BdCn"/>
          <w:caps/>
          <w:color w:val="CD0066"/>
          <w:sz w:val="18"/>
          <w:szCs w:val="18"/>
        </w:rPr>
        <w:t xml:space="preserve">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свойства</w:t>
      </w:r>
      <w:proofErr w:type="gramStart"/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351DFB">
        <w:rPr>
          <w:rFonts w:ascii="HelveticaNeueLTStd-Bd" w:hAnsi="HelveticaNeueLTStd-Bd" w:cs="HelveticaNeueLTStd-Bd"/>
          <w:color w:val="CD0066"/>
          <w:sz w:val="18"/>
          <w:szCs w:val="18"/>
        </w:rPr>
        <w:t>.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L</w:t>
      </w:r>
      <w:proofErr w:type="gramEnd"/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-</w:t>
      </w:r>
      <w:proofErr w:type="spellStart"/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аспарагиназ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– 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фермент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расщепл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яющий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аминокислот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L-аспарагин 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на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аспарагинов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ую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кислот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аммони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й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. Истощение запасов L-аспарагина в крови приводит к подавлению синтеза белков, ДНК и РНК, в особенности в лейкемических бластах, которые не способны синтезировать L-аспарагин и в результате этого подвергаются апоптозу.</w:t>
      </w:r>
      <w:r w:rsidR="00A17D3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F3FC1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 xml:space="preserve">Перечень вспомогательных веществ*.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Форма выпуска</w:t>
      </w:r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351DFB">
        <w:rPr>
          <w:rFonts w:ascii="HelveticaNeueLTStd-Bd" w:hAnsi="HelveticaNeueLTStd-Bd" w:cs="HelveticaNeueLTStd-Bd"/>
          <w:color w:val="CD0066"/>
          <w:sz w:val="18"/>
          <w:szCs w:val="18"/>
        </w:rPr>
        <w:t>.</w:t>
      </w:r>
      <w:r w:rsidR="00A17D3A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B971F0" w:rsidRPr="00B971F0">
        <w:rPr>
          <w:rFonts w:ascii="HelveticaNeueLTStd-Lt" w:hAnsi="HelveticaNeueLTStd-Lt" w:cs="HelveticaNeueLTStd-Lt"/>
          <w:color w:val="000000"/>
          <w:sz w:val="18"/>
          <w:szCs w:val="18"/>
        </w:rPr>
        <w:t>Количество препарата в упаковке: 1</w:t>
      </w:r>
      <w:r w:rsidR="00B971F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флакон</w:t>
      </w:r>
      <w:r w:rsidR="00B971F0" w:rsidRPr="00B971F0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B16B9C" w:rsidRPr="00B16B9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F3735" w:rsidRPr="004F3735">
        <w:rPr>
          <w:rFonts w:ascii="HelveticaNeueLTStd-Bd" w:hAnsi="HelveticaNeueLTStd-Bd" w:cs="HelveticaNeueLTStd-Bd"/>
          <w:color w:val="000D4D"/>
          <w:sz w:val="18"/>
          <w:szCs w:val="18"/>
        </w:rPr>
        <w:t>АО «Сервье»</w:t>
      </w:r>
      <w:r w:rsidR="004F3735">
        <w:rPr>
          <w:rFonts w:ascii="HelveticaNeueLTStd-Bd" w:hAnsi="HelveticaNeueLTStd-Bd" w:cs="HelveticaNeueLTStd-Bd"/>
          <w:color w:val="000D4D"/>
          <w:sz w:val="18"/>
          <w:szCs w:val="18"/>
        </w:rPr>
        <w:t xml:space="preserve">. </w:t>
      </w:r>
      <w:r w:rsidR="004F3735" w:rsidRPr="004F3735">
        <w:rPr>
          <w:rFonts w:ascii="HelveticaNeueLTStd-Lt" w:hAnsi="HelveticaNeueLTStd-Lt" w:cs="HelveticaNeueLTStd-Lt"/>
          <w:color w:val="000000"/>
          <w:sz w:val="18"/>
          <w:szCs w:val="18"/>
        </w:rPr>
        <w:t>125196, Российская Федерация, г. Москва, ул. Лесная, д.7</w:t>
      </w:r>
      <w:r w:rsidR="004F3735">
        <w:rPr>
          <w:rFonts w:ascii="HelveticaNeueLTStd-Lt" w:hAnsi="HelveticaNeueLTStd-Lt" w:cs="HelveticaNeueLTStd-Lt"/>
          <w:color w:val="000000"/>
          <w:sz w:val="18"/>
          <w:szCs w:val="18"/>
        </w:rPr>
        <w:t>. тел. +7(495) 937 07 00</w:t>
      </w:r>
      <w:r w:rsidR="00AF0F7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AF0F7A" w:rsidRPr="00AF0F7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Регистрационное удостоверение: </w:t>
      </w:r>
      <w:r w:rsidR="00A17D3A" w:rsidRPr="00A17D3A">
        <w:rPr>
          <w:rFonts w:ascii="HelveticaNeueLTStd-Lt" w:hAnsi="HelveticaNeueLTStd-Lt" w:cs="HelveticaNeueLTStd-Lt"/>
          <w:color w:val="000000"/>
          <w:sz w:val="18"/>
          <w:szCs w:val="18"/>
        </w:rPr>
        <w:t>ЛП-№(000545)-(РГ-RU)</w:t>
      </w:r>
      <w:r w:rsidR="00AF0F7A" w:rsidRPr="00A17D3A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</w:p>
    <w:p w14:paraId="7057E5E0" w14:textId="2DC51F5C" w:rsidR="00AF3660" w:rsidRPr="00726E47" w:rsidRDefault="001D5B73" w:rsidP="00AF3660">
      <w:pPr>
        <w:rPr>
          <w:rFonts w:ascii="HelveticaNeueLTStd-Lt" w:hAnsi="HelveticaNeueLTStd-Lt" w:cs="HelveticaNeueLTStd-Lt"/>
          <w:b/>
          <w:bCs/>
          <w:color w:val="000000"/>
          <w:sz w:val="18"/>
          <w:szCs w:val="18"/>
        </w:rPr>
      </w:pPr>
      <w:r>
        <w:rPr>
          <w:rFonts w:ascii="HelveticaNeueLTStd-Lt" w:hAnsi="HelveticaNeueLTStd-Lt" w:cs="HelveticaNeueLTStd-Lt"/>
          <w:b/>
          <w:bCs/>
          <w:color w:val="000000"/>
          <w:sz w:val="18"/>
          <w:szCs w:val="18"/>
        </w:rPr>
        <w:t xml:space="preserve">* </w:t>
      </w:r>
      <w:r w:rsidRPr="001D5B73">
        <w:rPr>
          <w:rFonts w:ascii="HelveticaNeueLTStd-Lt" w:hAnsi="HelveticaNeueLTStd-Lt" w:cs="HelveticaNeueLTStd-Lt"/>
          <w:b/>
          <w:bCs/>
          <w:color w:val="000000"/>
          <w:sz w:val="18"/>
          <w:szCs w:val="18"/>
        </w:rPr>
        <w:t>Для получения полной информации, пожалуйста, обратитесь к общей характеристике лекарственного препарата</w:t>
      </w:r>
    </w:p>
    <w:sectPr w:rsidR="00AF3660" w:rsidRPr="0072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LTStd-BdCn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HelveticaNeueLTStd-L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NeueLTStd-B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F8"/>
    <w:rsid w:val="00113499"/>
    <w:rsid w:val="00140AAB"/>
    <w:rsid w:val="001562B6"/>
    <w:rsid w:val="00181310"/>
    <w:rsid w:val="001C544F"/>
    <w:rsid w:val="001C5B95"/>
    <w:rsid w:val="001D5B73"/>
    <w:rsid w:val="001E3E75"/>
    <w:rsid w:val="001E58ED"/>
    <w:rsid w:val="00205B4D"/>
    <w:rsid w:val="00233FBB"/>
    <w:rsid w:val="00241CFE"/>
    <w:rsid w:val="00244288"/>
    <w:rsid w:val="0025779D"/>
    <w:rsid w:val="00265F51"/>
    <w:rsid w:val="00281657"/>
    <w:rsid w:val="002B2330"/>
    <w:rsid w:val="002D1E88"/>
    <w:rsid w:val="002F14FC"/>
    <w:rsid w:val="00324809"/>
    <w:rsid w:val="00326AF8"/>
    <w:rsid w:val="00350740"/>
    <w:rsid w:val="00351DFB"/>
    <w:rsid w:val="00356507"/>
    <w:rsid w:val="00371C04"/>
    <w:rsid w:val="003C0C8F"/>
    <w:rsid w:val="003E071D"/>
    <w:rsid w:val="00416053"/>
    <w:rsid w:val="004330B3"/>
    <w:rsid w:val="004417DD"/>
    <w:rsid w:val="0047108F"/>
    <w:rsid w:val="00477584"/>
    <w:rsid w:val="00477FDA"/>
    <w:rsid w:val="00494B92"/>
    <w:rsid w:val="004A06EF"/>
    <w:rsid w:val="004B03E3"/>
    <w:rsid w:val="004C5771"/>
    <w:rsid w:val="004D5B9B"/>
    <w:rsid w:val="004F3735"/>
    <w:rsid w:val="004F3FC1"/>
    <w:rsid w:val="0053282D"/>
    <w:rsid w:val="00552AF1"/>
    <w:rsid w:val="00603D1D"/>
    <w:rsid w:val="00685150"/>
    <w:rsid w:val="006E0D0D"/>
    <w:rsid w:val="006F0792"/>
    <w:rsid w:val="00717A91"/>
    <w:rsid w:val="00726E47"/>
    <w:rsid w:val="007401ED"/>
    <w:rsid w:val="00740D6D"/>
    <w:rsid w:val="00751717"/>
    <w:rsid w:val="00754277"/>
    <w:rsid w:val="00761882"/>
    <w:rsid w:val="0079420B"/>
    <w:rsid w:val="007B3BDE"/>
    <w:rsid w:val="007E0F3B"/>
    <w:rsid w:val="007F06B8"/>
    <w:rsid w:val="0082081A"/>
    <w:rsid w:val="00883A0E"/>
    <w:rsid w:val="0089612C"/>
    <w:rsid w:val="008B5CC0"/>
    <w:rsid w:val="008B60D9"/>
    <w:rsid w:val="008C0C7F"/>
    <w:rsid w:val="008C46A6"/>
    <w:rsid w:val="00936482"/>
    <w:rsid w:val="00966D38"/>
    <w:rsid w:val="009A0CCA"/>
    <w:rsid w:val="00A061F3"/>
    <w:rsid w:val="00A0650C"/>
    <w:rsid w:val="00A17D3A"/>
    <w:rsid w:val="00A27A40"/>
    <w:rsid w:val="00A705C9"/>
    <w:rsid w:val="00A95FFE"/>
    <w:rsid w:val="00AC3CA0"/>
    <w:rsid w:val="00AD296B"/>
    <w:rsid w:val="00AF0F7A"/>
    <w:rsid w:val="00AF3660"/>
    <w:rsid w:val="00B16B9C"/>
    <w:rsid w:val="00B20EB6"/>
    <w:rsid w:val="00B54255"/>
    <w:rsid w:val="00B65009"/>
    <w:rsid w:val="00B66BAD"/>
    <w:rsid w:val="00B6764A"/>
    <w:rsid w:val="00B822E8"/>
    <w:rsid w:val="00B971F0"/>
    <w:rsid w:val="00BD1FC5"/>
    <w:rsid w:val="00BE0846"/>
    <w:rsid w:val="00C2115D"/>
    <w:rsid w:val="00C2665E"/>
    <w:rsid w:val="00C60868"/>
    <w:rsid w:val="00D16774"/>
    <w:rsid w:val="00D45C15"/>
    <w:rsid w:val="00D61389"/>
    <w:rsid w:val="00E0626F"/>
    <w:rsid w:val="00E31D0A"/>
    <w:rsid w:val="00E54E68"/>
    <w:rsid w:val="00E77B17"/>
    <w:rsid w:val="00E95584"/>
    <w:rsid w:val="00EC3C3A"/>
    <w:rsid w:val="00ED4198"/>
    <w:rsid w:val="00F26A3D"/>
    <w:rsid w:val="00F538B8"/>
    <w:rsid w:val="00F55BEC"/>
    <w:rsid w:val="00FA01C6"/>
    <w:rsid w:val="00FB3392"/>
    <w:rsid w:val="00FC689D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6192"/>
  <w15:chartTrackingRefBased/>
  <w15:docId w15:val="{63BEB772-0570-452E-AF48-D54740E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650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65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650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65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5650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507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B67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ZAVYALOV Aleksandr RUSSIA</dc:creator>
  <cp:keywords/>
  <dc:description/>
  <cp:lastModifiedBy>ZAVYALOV Aleksandr RUSSIA</cp:lastModifiedBy>
  <cp:revision>4</cp:revision>
  <dcterms:created xsi:type="dcterms:W3CDTF">2024-12-27T12:53:00Z</dcterms:created>
  <dcterms:modified xsi:type="dcterms:W3CDTF">2024-12-27T12:54:00Z</dcterms:modified>
</cp:coreProperties>
</file>