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8C17" w14:textId="516E5427" w:rsidR="00AF0F7A" w:rsidRDefault="00AF0F7A" w:rsidP="00AF3660">
      <w:pPr>
        <w:autoSpaceDE w:val="0"/>
        <w:autoSpaceDN w:val="0"/>
        <w:adjustRightInd w:val="0"/>
        <w:spacing w:after="0" w:line="240" w:lineRule="auto"/>
        <w:rPr>
          <w:rFonts w:ascii="HelveticaNeueLTStd-BdCn" w:hAnsi="HelveticaNeueLTStd-BdCn" w:cs="HelveticaNeueLTStd-BdCn"/>
          <w:color w:val="CD0066"/>
          <w:sz w:val="18"/>
          <w:szCs w:val="18"/>
        </w:rPr>
      </w:pPr>
      <w:r w:rsidRPr="00AF0F7A">
        <w:rPr>
          <w:rFonts w:ascii="HelveticaNeueLTStd-BdCn" w:hAnsi="HelveticaNeueLTStd-BdCn" w:cs="HelveticaNeueLTStd-BdCn"/>
          <w:color w:val="CD0066"/>
          <w:sz w:val="18"/>
          <w:szCs w:val="18"/>
        </w:rPr>
        <w:t xml:space="preserve">Краткая справочная информация по безопасности – </w:t>
      </w:r>
      <w:proofErr w:type="spellStart"/>
      <w:r>
        <w:rPr>
          <w:rFonts w:ascii="HelveticaNeueLTStd-BdCn" w:hAnsi="HelveticaNeueLTStd-BdCn" w:cs="HelveticaNeueLTStd-BdCn"/>
          <w:color w:val="CD0066"/>
          <w:sz w:val="18"/>
          <w:szCs w:val="18"/>
        </w:rPr>
        <w:t>пэгаспаргаза</w:t>
      </w:r>
      <w:proofErr w:type="spellEnd"/>
      <w:r w:rsidR="00350740">
        <w:rPr>
          <w:rFonts w:ascii="HelveticaNeueLTStd-BdCn" w:hAnsi="HelveticaNeueLTStd-BdCn" w:cs="HelveticaNeueLTStd-BdCn"/>
          <w:color w:val="CD0066"/>
          <w:sz w:val="18"/>
          <w:szCs w:val="18"/>
        </w:rPr>
        <w:t>.</w:t>
      </w:r>
      <w:r w:rsidRPr="00AF0F7A">
        <w:rPr>
          <w:rFonts w:ascii="HelveticaNeueLTStd-BdCn" w:hAnsi="HelveticaNeueLTStd-BdCn" w:cs="HelveticaNeueLTStd-BdCn"/>
          <w:color w:val="CD0066"/>
          <w:sz w:val="18"/>
          <w:szCs w:val="18"/>
        </w:rPr>
        <w:t xml:space="preserve"> </w:t>
      </w:r>
      <w:r w:rsidR="00FB3392" w:rsidRPr="00FB3392">
        <w:rPr>
          <w:rFonts w:ascii="HelveticaNeueLTStd-BdCn" w:hAnsi="HelveticaNeueLTStd-BdCn" w:cs="HelveticaNeueLTStd-BdCn"/>
          <w:color w:val="CD0066"/>
          <w:sz w:val="18"/>
          <w:szCs w:val="18"/>
        </w:rPr>
        <w:t>MU-37381</w:t>
      </w:r>
    </w:p>
    <w:p w14:paraId="10A4D818" w14:textId="0B7C1575" w:rsidR="00AF3660" w:rsidRPr="004F3735" w:rsidRDefault="00BD1FC5" w:rsidP="004C577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18"/>
          <w:szCs w:val="18"/>
        </w:rPr>
      </w:pPr>
      <w:r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С</w:t>
      </w:r>
      <w:r w:rsidR="00356507"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остав</w:t>
      </w:r>
      <w:r w:rsidR="00AF366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074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350740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proofErr w:type="spellStart"/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Лиофилизат</w:t>
      </w:r>
      <w:proofErr w:type="spellEnd"/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для приготовления раствора для внутримышечного введения</w:t>
      </w:r>
      <w:r w:rsidR="003507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инфузий.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Каждый флакон содержит 3750 МЕ </w:t>
      </w:r>
      <w:proofErr w:type="spellStart"/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пэгаспаргазы</w:t>
      </w:r>
      <w:proofErr w:type="spellEnd"/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3507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После восстановления 1 мл раствора содержит 750 МЕ </w:t>
      </w:r>
      <w:proofErr w:type="spellStart"/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пэгаспаргазы</w:t>
      </w:r>
      <w:proofErr w:type="spellEnd"/>
      <w:r w:rsidR="004B03E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Показания </w:t>
      </w:r>
      <w:r w:rsidR="00AF366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89612C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89612C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proofErr w:type="spellStart"/>
      <w:r w:rsidR="00A0650C" w:rsidRPr="00A0650C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proofErr w:type="spellEnd"/>
      <w:r w:rsidR="00A0650C" w:rsidRPr="00A0650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показан к применению у взрослых и детей в возрасте от рождения до 18 лет для терапии острого лимфобластного лейкоза (ОЛЛ) в комбинации с другими противоопухолевыми препаратами.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Pr="006E0D0D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Режим дозирования и способ применения</w:t>
      </w:r>
      <w:r w:rsidR="00AF3660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6E0D0D" w:rsidRPr="006E0D0D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 xml:space="preserve">. </w:t>
      </w:r>
      <w:r w:rsidR="0089612C" w:rsidRP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Назначение и введение </w:t>
      </w:r>
      <w:proofErr w:type="spellStart"/>
      <w:r w:rsidR="0089612C" w:rsidRPr="0089612C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89612C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89612C" w:rsidRP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должно проводиться врачом или медицинским работником, имеющим опыт применения противоопухолевых препаратов.</w:t>
      </w:r>
      <w:r w:rsidR="0089612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6E0D0D" w:rsidRP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Его следует вводить только в условиях стационара, где 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>есть</w:t>
      </w:r>
      <w:r w:rsidR="006E0D0D" w:rsidRP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соответствующее реанимационное оборудование.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Обычно </w:t>
      </w:r>
      <w:proofErr w:type="spellStart"/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proofErr w:type="spellEnd"/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используют 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в составе 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комбинированной терапии с другими </w:t>
      </w:r>
      <w:r w:rsidR="006E0D0D">
        <w:rPr>
          <w:rFonts w:ascii="HelveticaNeueLTStd-Lt" w:hAnsi="HelveticaNeueLTStd-Lt" w:cs="HelveticaNeueLTStd-Lt"/>
          <w:color w:val="000000"/>
          <w:sz w:val="18"/>
          <w:szCs w:val="18"/>
        </w:rPr>
        <w:t>противоопухолевыми препаратами</w:t>
      </w:r>
      <w:r w:rsidR="00D45C15" w:rsidRPr="004B03E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113499" w:rsidRPr="00113499">
        <w:t xml:space="preserve"> </w:t>
      </w:r>
      <w:r w:rsidR="00C2115D" w:rsidRPr="00C2115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Рекомендуемая </w:t>
      </w:r>
      <w:proofErr w:type="spellStart"/>
      <w:r w:rsidR="00C2115D" w:rsidRPr="00C2115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премедикация</w:t>
      </w:r>
      <w:proofErr w:type="spellEnd"/>
      <w:proofErr w:type="gramStart"/>
      <w:r w:rsidR="00C2115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:</w:t>
      </w:r>
      <w:r w:rsidR="00113499" w:rsidRPr="0011349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16774">
        <w:rPr>
          <w:rFonts w:ascii="HelveticaNeueLTStd-Lt" w:hAnsi="HelveticaNeueLTStd-Lt" w:cs="HelveticaNeueLTStd-Lt"/>
          <w:color w:val="000000"/>
          <w:sz w:val="18"/>
          <w:szCs w:val="18"/>
        </w:rPr>
        <w:t>З</w:t>
      </w:r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gram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30-60 минут до введения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Онкаспара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назначается парацетамол, блокатор H-1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гистаминовых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рецепторов (например,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дифенгидрамин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) и блокатор H-2 </w:t>
      </w:r>
      <w:proofErr w:type="spellStart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гистаминовых</w:t>
      </w:r>
      <w:proofErr w:type="spellEnd"/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рецепторов (например, фамотидин), чтобы снизить риск и тяжесть реакций, связанных как с инфузией, так и с</w:t>
      </w:r>
      <w:r w:rsidR="00C2115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C2115D" w:rsidRPr="00C2115D">
        <w:rPr>
          <w:rFonts w:ascii="HelveticaNeueLTStd-Lt" w:hAnsi="HelveticaNeueLTStd-Lt" w:cs="HelveticaNeueLTStd-Lt"/>
          <w:color w:val="000000"/>
          <w:sz w:val="18"/>
          <w:szCs w:val="18"/>
        </w:rPr>
        <w:t>гиперчувствительностью</w:t>
      </w:r>
      <w:r w:rsidR="00113499" w:rsidRPr="00113499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Дети</w:t>
      </w:r>
      <w:r w:rsidR="00D45C15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 и взрослые до 21 года включительно</w:t>
      </w:r>
      <w:r w:rsidR="004B03E3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:</w:t>
      </w:r>
      <w:r w:rsidR="00D61389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Рекомендуемая доза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для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пациентов с площадью поверхности тела (ППТ) </w:t>
      </w:r>
      <w:r w:rsidR="004B03E3" w:rsidRPr="004E7F5C">
        <w:rPr>
          <w:rFonts w:cs="HelveticaNeueLTStd-Lt"/>
          <w:color w:val="000000"/>
          <w:sz w:val="18"/>
          <w:szCs w:val="18"/>
          <w:u w:val="single"/>
          <w:rPrChange w:id="0" w:author="BASHKIROVA Elena RUSSIA" w:date="2024-02-22T09:08:00Z">
            <w:rPr>
              <w:rFonts w:cs="HelveticaNeueLTStd-Lt"/>
              <w:color w:val="000000"/>
              <w:sz w:val="18"/>
              <w:szCs w:val="18"/>
              <w:u w:val="single"/>
              <w:lang w:val="en-US"/>
            </w:rPr>
          </w:rPrChange>
        </w:rPr>
        <w:t>&gt;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0,6 м2 составляет 2500 МЕ (эквивалентно 3,3 мл препарата) на 1 м2 </w:t>
      </w:r>
      <w:r w:rsidR="00B6500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ППТ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каждые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14 дней.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Детям с </w:t>
      </w:r>
      <w:r w:rsidR="00B6500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ППТ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B65009" w:rsidRPr="004E7F5C">
        <w:rPr>
          <w:rFonts w:cs="HelveticaNeueLTStd-Lt"/>
          <w:color w:val="000000"/>
          <w:sz w:val="18"/>
          <w:szCs w:val="18"/>
          <w:rPrChange w:id="1" w:author="BASHKIROVA Elena RUSSIA" w:date="2024-02-22T09:08:00Z">
            <w:rPr>
              <w:rFonts w:cs="HelveticaNeueLTStd-Lt"/>
              <w:color w:val="000000"/>
              <w:sz w:val="18"/>
              <w:szCs w:val="18"/>
              <w:lang w:val="en-US"/>
            </w:rPr>
          </w:rPrChange>
        </w:rPr>
        <w:t>&lt;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0,6 м² вводят 82,5 МЕ (0,1 мл препарата) на 1 кг массы тела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каждые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14 дней</w:t>
      </w:r>
      <w:r w:rsidR="00B6500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Взрослые старше 21 года</w:t>
      </w:r>
      <w:proofErr w:type="gramStart"/>
      <w:r w:rsidR="00B65009" w:rsidRPr="006E0D0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:</w:t>
      </w:r>
      <w:r w:rsidR="00D61389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Если</w:t>
      </w:r>
      <w:proofErr w:type="gramEnd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 указано иное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рекомендуемая доза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2000 МЕ (эквивалентно 2,67 мл препарата) на 1 м2 площади поверхности тела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каждые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14 дней.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proofErr w:type="spellEnd"/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применяют </w:t>
      </w:r>
      <w:r w:rsidR="00D61389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внутримышечно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(в/м) или с помощью </w:t>
      </w:r>
      <w:r w:rsidR="00D45C15" w:rsidRPr="00B65009">
        <w:rPr>
          <w:rFonts w:ascii="HelveticaNeueLTStd-Lt" w:hAnsi="HelveticaNeueLTStd-Lt" w:cs="HelveticaNeueLTStd-Lt"/>
          <w:color w:val="000000"/>
          <w:sz w:val="18"/>
          <w:szCs w:val="18"/>
        </w:rPr>
        <w:t>внутривенн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ых (в/в) инфузий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>Для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небольших объемов предпочтител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>ен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в/м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путь введения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При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в/м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назначении одномоментно вводимый объем не должен превышать 2 мл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детей и 3 мл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взрослых. При необходимости введения большего объема его следует ввести посредством нескольких инъекций в разные места.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в/в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инфузии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proofErr w:type="spellEnd"/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должен вводиться в течение </w:t>
      </w:r>
      <w:proofErr w:type="gramStart"/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1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-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2</w:t>
      </w:r>
      <w:proofErr w:type="gramEnd"/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часов в 100 мл 0,9 % раствора натрия хлорида или 5 % раствора глюкозы.</w:t>
      </w:r>
      <w:r w:rsid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 следует вводить другие препараты одновременно по одной и той же системе для 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>в/в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инфузий, что и </w:t>
      </w:r>
      <w:proofErr w:type="spellStart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proofErr w:type="spellEnd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8B60D9" w:rsidRPr="00F538B8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Противопоказания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4F3FC1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bookmarkStart w:id="2" w:name="_Hlk25164773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Гиперчувствительность к </w:t>
      </w:r>
      <w:proofErr w:type="spellStart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пэгаспаргазе</w:t>
      </w:r>
      <w:proofErr w:type="spellEnd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или к любому из вспомогательных веществ, перечисленных в разделе 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>Перечень вспомогательных веществ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Тяжелая печеночная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недостаточность (концентрация билирубина в сыворотке крови, превышающая более чем в 3 раза верхнюю границу нормы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(ВГН)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; активность трансаминаз, превышающая более чем в 10 раз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ВГН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).</w:t>
      </w:r>
      <w:r w:rsidR="004F3FC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Тяжелые тромбозы, связанные с терапией L-</w:t>
      </w:r>
      <w:proofErr w:type="spellStart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аспарагиназой</w:t>
      </w:r>
      <w:proofErr w:type="spellEnd"/>
      <w:r w:rsidR="00D61389" w:rsidRPr="00D61389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анамнезе.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Наличие в анамнезе панкреатита, включая панкреатит, связанный с предыдущей терапией L-</w:t>
      </w:r>
      <w:proofErr w:type="spellStart"/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аспарагиназой</w:t>
      </w:r>
      <w:proofErr w:type="spellEnd"/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(см. </w:t>
      </w:r>
      <w:r w:rsidR="00740D6D">
        <w:rPr>
          <w:rFonts w:ascii="HelveticaNeueLTStd-Lt" w:hAnsi="HelveticaNeueLTStd-Lt" w:cs="HelveticaNeueLTStd-Lt"/>
          <w:color w:val="000000"/>
          <w:sz w:val="18"/>
          <w:szCs w:val="18"/>
        </w:rPr>
        <w:t>Особые указания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)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Тяжелые геморрагические осложнения, связанные с терапией L-</w:t>
      </w:r>
      <w:proofErr w:type="spellStart"/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аспарагиназой</w:t>
      </w:r>
      <w:proofErr w:type="spellEnd"/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анамнезе (см. </w:t>
      </w:r>
      <w:r w:rsidR="00740D6D">
        <w:rPr>
          <w:rFonts w:ascii="HelveticaNeueLTStd-Lt" w:hAnsi="HelveticaNeueLTStd-Lt" w:cs="HelveticaNeueLTStd-Lt"/>
          <w:color w:val="000000"/>
          <w:sz w:val="18"/>
          <w:szCs w:val="18"/>
        </w:rPr>
        <w:t>Особые указания</w:t>
      </w:r>
      <w:r w:rsidR="00740D6D" w:rsidRPr="00740D6D">
        <w:rPr>
          <w:rFonts w:ascii="HelveticaNeueLTStd-Lt" w:hAnsi="HelveticaNeueLTStd-Lt" w:cs="HelveticaNeueLTStd-Lt"/>
          <w:color w:val="000000"/>
          <w:sz w:val="18"/>
          <w:szCs w:val="18"/>
        </w:rPr>
        <w:t>)</w:t>
      </w:r>
      <w:r w:rsidR="00D45C15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bookmarkEnd w:id="2"/>
      <w:r w:rsidR="00356507" w:rsidRPr="00F538B8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Особые указания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F538B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Антитела к </w:t>
      </w:r>
      <w:proofErr w:type="spellStart"/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аспарагиназе</w:t>
      </w:r>
      <w:proofErr w:type="spellEnd"/>
      <w:r w:rsid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В связи с потенциальной нейтрализующей активностью антител к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аспарагиназе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их выработка может сопровождаться снижением активности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аспарагиназы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Г</w:t>
      </w:r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иперчувствительност</w:t>
      </w:r>
      <w:r w:rsid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ь: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Реакции гиперчувствительности, включая </w:t>
      </w:r>
      <w:r w:rsidR="00F538B8" w:rsidRPr="00F538B8">
        <w:rPr>
          <w:rFonts w:ascii="HelveticaNeueLTStd-Lt" w:hAnsi="HelveticaNeueLTStd-Lt" w:cs="HelveticaNeueLTStd-Lt"/>
          <w:color w:val="000000"/>
          <w:sz w:val="18"/>
          <w:szCs w:val="18"/>
        </w:rPr>
        <w:t>опасную для жизни анафилаксию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в том числе у пациентов с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повышенной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ч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увствительност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ью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к препаратам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аспарагиназы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получаемой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из E.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coli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За </w:t>
      </w:r>
      <w:proofErr w:type="gramStart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>30-60</w:t>
      </w:r>
      <w:proofErr w:type="gramEnd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минут до введения </w:t>
      </w:r>
      <w:proofErr w:type="spellStart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D16774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пациентам должна быть проведена </w:t>
      </w:r>
      <w:proofErr w:type="spellStart"/>
      <w:r w:rsidR="00D16774" w:rsidRPr="00D16774">
        <w:rPr>
          <w:rFonts w:ascii="HelveticaNeueLTStd-Lt" w:hAnsi="HelveticaNeueLTStd-Lt" w:cs="HelveticaNeueLTStd-Lt"/>
          <w:color w:val="000000"/>
          <w:sz w:val="18"/>
          <w:szCs w:val="18"/>
        </w:rPr>
        <w:t>премедикация</w:t>
      </w:r>
      <w:proofErr w:type="spellEnd"/>
      <w:r w:rsidR="00D16774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Другие реакции гиперчувствительности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включая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ангионевротический отек, отек губ или глаз, эритему, снижение артериального давления, бронхоспазм, одышку, зуд и сыпь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У пациентов с серьезными реакциями гиперчувствительности 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введение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олжно быть прекращено.</w:t>
      </w:r>
      <w:r w:rsidR="00F538B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Влияние на поджелудочную железу</w:t>
      </w:r>
      <w:proofErr w:type="gramStart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Наблюдалось</w:t>
      </w:r>
      <w:proofErr w:type="gramEnd"/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развитие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панкреатита, включая геморрагический и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некротизирующий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 летальным исходом.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Пациенты должны быть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информированы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признаках 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симптомах панкреатита, которы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гут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привести к летальному исходу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при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отсутстви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лечения.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 подозрении на панкреатит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терапия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должн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быть прекращен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а; п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ри подтверждении диагноза панкреатита 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терапию </w:t>
      </w:r>
      <w:proofErr w:type="spellStart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proofErr w:type="spellEnd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возобновлять не следует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EC3C3A">
        <w:rPr>
          <w:rFonts w:cs="HelveticaNeueLTStd-Lt"/>
          <w:color w:val="000000"/>
          <w:sz w:val="18"/>
          <w:szCs w:val="18"/>
          <w:lang w:val="en-US"/>
        </w:rPr>
        <w:t xml:space="preserve"> </w:t>
      </w:r>
      <w:proofErr w:type="spellStart"/>
      <w:r w:rsidR="00416053" w:rsidRPr="00416053">
        <w:rPr>
          <w:rFonts w:ascii="HelveticaNeueLTStd-Lt" w:hAnsi="HelveticaNeueLTStd-Lt" w:cs="HelveticaNeueLTStd-Lt"/>
          <w:i/>
          <w:color w:val="000000"/>
          <w:sz w:val="18"/>
          <w:szCs w:val="18"/>
        </w:rPr>
        <w:t>Коагулопатия</w:t>
      </w:r>
      <w:proofErr w:type="spellEnd"/>
      <w:proofErr w:type="gramStart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: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Возможно</w:t>
      </w:r>
      <w:proofErr w:type="gramEnd"/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развитие т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яжелы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х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тромбоз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ов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в том числе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тромбоз сагиттального синуса. У пациентов с тяжелыми тромбозами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введение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следует прекратить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Показатели коагуляции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следует контролировать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перед началом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терапии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периодически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во время и после лечения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25779D" w:rsidRPr="0025779D">
        <w:t xml:space="preserve"> </w:t>
      </w:r>
      <w:proofErr w:type="spellStart"/>
      <w:r w:rsidR="00FD46B9">
        <w:rPr>
          <w:rFonts w:ascii="HelveticaNeueLTStd-Lt" w:hAnsi="HelveticaNeueLTStd-Lt" w:cs="HelveticaNeueLTStd-Lt"/>
          <w:i/>
          <w:color w:val="000000"/>
          <w:sz w:val="18"/>
          <w:szCs w:val="18"/>
        </w:rPr>
        <w:t>Остеонекроз</w:t>
      </w:r>
      <w:proofErr w:type="spellEnd"/>
      <w:proofErr w:type="gramStart"/>
      <w:r w:rsidR="0025779D" w:rsidRPr="0025779D">
        <w:rPr>
          <w:rFonts w:ascii="HelveticaNeueLTStd-Lt" w:hAnsi="HelveticaNeueLTStd-Lt" w:cs="HelveticaNeueLTStd-Lt"/>
          <w:i/>
          <w:color w:val="000000"/>
          <w:sz w:val="18"/>
          <w:szCs w:val="18"/>
        </w:rPr>
        <w:t>: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При</w:t>
      </w:r>
      <w:proofErr w:type="gramEnd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совместном применении с </w:t>
      </w:r>
      <w:proofErr w:type="spellStart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глюкокортикостероидами</w:t>
      </w:r>
      <w:proofErr w:type="spellEnd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остеонекроз</w:t>
      </w:r>
      <w:proofErr w:type="spellEnd"/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(аваскулярный некроз) является возможным осложнением </w:t>
      </w:r>
      <w:proofErr w:type="spellStart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гиперкоагуляции</w:t>
      </w:r>
      <w:proofErr w:type="spellEnd"/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, которое</w:t>
      </w:r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отмечается у детей и подростков, чаще у девочек. </w:t>
      </w:r>
      <w:r w:rsidR="00E95584">
        <w:rPr>
          <w:rFonts w:ascii="HelveticaNeueLTStd-Lt" w:hAnsi="HelveticaNeueLTStd-Lt" w:cs="HelveticaNeueLTStd-Lt"/>
          <w:color w:val="000000"/>
          <w:sz w:val="18"/>
          <w:szCs w:val="18"/>
        </w:rPr>
        <w:t>Ре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комендуется тщательное наблюдение за пациентами детского и подросткового возраста. Клиническое</w:t>
      </w:r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суждение лечащего врача должно определять план терапии каждого пациента на основе</w:t>
      </w:r>
      <w:r w:rsidR="002B233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B2330" w:rsidRPr="002B2330">
        <w:rPr>
          <w:rFonts w:ascii="HelveticaNeueLTStd-Lt" w:hAnsi="HelveticaNeueLTStd-Lt" w:cs="HelveticaNeueLTStd-Lt"/>
          <w:color w:val="000000"/>
          <w:sz w:val="18"/>
          <w:szCs w:val="18"/>
        </w:rPr>
        <w:t>индивидуальной оценки пользы/риска.</w:t>
      </w:r>
      <w:r w:rsidR="002B2330" w:rsidRPr="002B2330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Влияние на </w:t>
      </w:r>
      <w:proofErr w:type="gramStart"/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печень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: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53282D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Комбинированная</w:t>
      </w:r>
      <w:proofErr w:type="gramEnd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терапия </w:t>
      </w:r>
      <w:proofErr w:type="spellStart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proofErr w:type="spellEnd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 другими </w:t>
      </w:r>
      <w:proofErr w:type="spellStart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гепатотоксичными</w:t>
      </w:r>
      <w:proofErr w:type="spellEnd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препаратами может оказывать тяжелое токсическое действие на печень.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Необходимо соблюдать осторожность при назначении </w:t>
      </w:r>
      <w:proofErr w:type="spellStart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сочетании с </w:t>
      </w:r>
      <w:proofErr w:type="spellStart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>гепатотоксичными</w:t>
      </w:r>
      <w:proofErr w:type="spellEnd"/>
      <w:r w:rsidR="0053282D" w:rsidRP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препаратами, особенно при наличии нарушений функции печени.</w:t>
      </w:r>
      <w:r w:rsidR="0053282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У пациента должны контролироваться изменения показателей функции печени.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Влияние на центральную нервную систему</w:t>
      </w:r>
      <w:r w:rsidR="0082081A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(ЦНС)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Комбинированная терапия с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отказывать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токсическ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ое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действие на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>ЦНС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BE0846" w:rsidRP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Сообщалось о случаях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энцефалопатии, включая синдром обратимой задней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лейкоэнцефалопатии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вызывать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признаки 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симптомы со стороны 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>ЦНС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, такие как сонливость, спутанность сознания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судороги. Пациенты должны находиться под пристальным наблюдением для выявления этих </w:t>
      </w:r>
      <w:r w:rsidR="00BE0846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симптомов,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примен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ении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комбинации с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нейротоксичными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препаратами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например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>винкристин</w:t>
      </w:r>
      <w:proofErr w:type="spellEnd"/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82081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метотрексат.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Миелосупрессия</w:t>
      </w:r>
      <w:proofErr w:type="spellEnd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Пэгаспаргаза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вызывать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миелосупрессию</w:t>
      </w:r>
      <w:proofErr w:type="spellEnd"/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прямо или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косвенно.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Таким образом,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применение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приводить к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увеличению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риска инфекций.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Гипераммониемия</w:t>
      </w:r>
      <w:proofErr w:type="spellEnd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В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нутривенное введение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аспарагиназы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приводить к резкому повышению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концентрации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аммония в сыворотке.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Симптомы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гипераммониемии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часто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носят преходящий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характер и могут включать тошноту, рвоту, головную боль, головокружение и сыпь. В тяжелых случаях может развиваться энцефалопатия с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нарушением функции печени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или без нее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особенно у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пожилых людей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что может угрожать жизни или приводить к летальному исходу. При наличии симптомов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гипераммониемии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следует тщательно контролировать 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>концентрацию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аммония.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К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онтрацепци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я</w:t>
      </w:r>
      <w:proofErr w:type="gramStart"/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Во время</w:t>
      </w:r>
      <w:proofErr w:type="gram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лечения </w:t>
      </w:r>
      <w:proofErr w:type="spellStart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Онкаспаром</w:t>
      </w:r>
      <w:proofErr w:type="spellEnd"/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в течение по меньшей мере 6 месяцев после его прекращения следует применять надежные методы контрацепции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(</w:t>
      </w:r>
      <w:proofErr w:type="spellStart"/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непероральной</w:t>
      </w:r>
      <w:proofErr w:type="spellEnd"/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)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416053" w:rsidRP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>Содержание натрия</w:t>
      </w:r>
      <w:r w:rsidR="00265F51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: 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содержит менее 1 ммоль натрия (23 мг)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на дозу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, т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е</w:t>
      </w:r>
      <w:r w:rsidR="00265F51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по сути не содержит натрия</w:t>
      </w:r>
      <w:r w:rsidR="00416053" w:rsidRPr="00416053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BE084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356507" w:rsidRPr="00F538B8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Взаимодействие 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BE0846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. </w:t>
      </w:r>
      <w:r w:rsidR="00FC689D" w:rsidRPr="00FC689D">
        <w:rPr>
          <w:rFonts w:ascii="HelveticaNeueLTStd-Bd" w:hAnsi="HelveticaNeueLTStd-Bd" w:cs="HelveticaNeueLTStd-Bd"/>
          <w:i/>
          <w:iCs/>
          <w:color w:val="CD0066"/>
          <w:sz w:val="18"/>
          <w:szCs w:val="18"/>
        </w:rPr>
        <w:t>С осторожностью</w:t>
      </w:r>
      <w:r w:rsidR="00FC689D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: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Снижение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пэгаспаргазой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концентрации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белков в сыворотке крови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может повысить токсичность других лекарств, связ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анных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>белк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ами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 сыворотке крови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Метотрексат и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цитарабин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могут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>по-разному взаимодействовать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lastRenderedPageBreak/>
        <w:t>Онкаспа</w:t>
      </w:r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ром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: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их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предшествующее применение может синергетически усиливать действие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пэгаспаргазы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влия</w:t>
      </w:r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 метаболизм и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выведение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других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лекарственных средств, учитывая ее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влияни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я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на синтез белк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функцию печени, </w:t>
      </w:r>
      <w:r w:rsidR="00603D1D" w:rsidRPr="00603D1D">
        <w:rPr>
          <w:rFonts w:ascii="HelveticaNeueLTStd-Lt" w:hAnsi="HelveticaNeueLTStd-Lt" w:cs="HelveticaNeueLTStd-Lt"/>
          <w:color w:val="000000"/>
          <w:sz w:val="18"/>
          <w:szCs w:val="18"/>
        </w:rPr>
        <w:t>а также совместное применение с другими химиотерапевтическими препаратами, которые взаимодействуют с Р450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Применение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сопровождаться колебаниями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концентраций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факторов свертывания. Это может способствовать кровотечениям и/или тромбозам.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Поэтому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необходима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осторожност</w:t>
      </w:r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при одновременном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назначении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антикоагулянтов, таких как кумарин, гепарин, дипиридамол, ацетилсалициловая кислота и другие нестероидные противовоспалительные препараты, или при одновременной химиотерапии по схеме,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включающей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метотрексат,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даунорубицин</w:t>
      </w:r>
      <w:proofErr w:type="spellEnd"/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глюкокортикоиды.</w:t>
      </w:r>
      <w:r w:rsidR="00113499" w:rsidRPr="00113499">
        <w:t xml:space="preserve"> </w:t>
      </w:r>
      <w:proofErr w:type="spellStart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Пэгаспаргаза</w:t>
      </w:r>
      <w:proofErr w:type="spellEnd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повышать риск развития </w:t>
      </w:r>
      <w:proofErr w:type="spellStart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остеонекроза</w:t>
      </w:r>
      <w:proofErr w:type="spellEnd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, вызванного</w:t>
      </w:r>
      <w:r w:rsid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глюкокортикостероидами</w:t>
      </w:r>
      <w:proofErr w:type="spellEnd"/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, у детей и подростков при их совместном применении, с более</w:t>
      </w:r>
      <w:r w:rsid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высоким риском его появления у девочек из-за потенциального увеличения экспозиции</w:t>
      </w:r>
      <w:r w:rsid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>дексаметазона</w:t>
      </w:r>
      <w:r w:rsidR="00E95584" w:rsidRPr="004E7F5C">
        <w:rPr>
          <w:rFonts w:cs="HelveticaNeueLTStd-Lt"/>
          <w:color w:val="000000"/>
          <w:sz w:val="18"/>
          <w:szCs w:val="18"/>
          <w:rPrChange w:id="3" w:author="BASHKIROVA Elena RUSSIA" w:date="2024-02-22T09:08:00Z">
            <w:rPr>
              <w:rFonts w:cs="HelveticaNeueLTStd-Lt"/>
              <w:color w:val="000000"/>
              <w:sz w:val="18"/>
              <w:szCs w:val="18"/>
              <w:lang w:val="en-US"/>
            </w:rPr>
          </w:rPrChange>
        </w:rPr>
        <w:t>.</w:t>
      </w:r>
      <w:r w:rsidR="00FA01C6" w:rsidRPr="00FA01C6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Применение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винкристина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непосредственно до или во время лечения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пэгаспаргазой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увеличивать токсичность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пэгаспаргазы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proofErr w:type="spellStart"/>
      <w:r w:rsidR="00936482">
        <w:rPr>
          <w:rFonts w:ascii="HelveticaNeueLTStd-Lt" w:hAnsi="HelveticaNeueLTStd-Lt" w:cs="HelveticaNeueLTStd-Lt"/>
          <w:color w:val="000000"/>
          <w:sz w:val="18"/>
          <w:szCs w:val="18"/>
        </w:rPr>
        <w:t>В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инкристин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следует вводить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 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менее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чем за 12 часов до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603D1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Одновременная вакцинация живыми вакцинами может 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>увеличивать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риск тяжелых инфекций, связанных с </w:t>
      </w:r>
      <w:proofErr w:type="spellStart"/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иммуносупрессивным</w:t>
      </w:r>
      <w:proofErr w:type="spellEnd"/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действием </w:t>
      </w:r>
      <w:proofErr w:type="spellStart"/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пэгаспаргазы</w:t>
      </w:r>
      <w:proofErr w:type="spellEnd"/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особенностями основного заболевания и комбинированной химиотерапией. 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>Поэтому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вакцинация живыми вакцинами разрешается не ранее чем через 3 месяца после прекращения 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>полного</w:t>
      </w:r>
      <w:r w:rsidR="00717A91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лечения лейкоза.</w:t>
      </w:r>
      <w:r w:rsidR="00717A91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FC689D" w:rsidRPr="00FC689D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Не рекоменд</w:t>
      </w:r>
      <w:r w:rsidR="00A061F3">
        <w:rPr>
          <w:rFonts w:ascii="HelveticaNeueLTStd-Lt" w:hAnsi="HelveticaNeueLTStd-Lt" w:cs="HelveticaNeueLTStd-Lt"/>
          <w:i/>
          <w:iCs/>
          <w:color w:val="000000"/>
          <w:sz w:val="18"/>
          <w:szCs w:val="18"/>
        </w:rPr>
        <w:t>уется</w:t>
      </w:r>
      <w:proofErr w:type="gramStart"/>
      <w:r w:rsidR="00FC689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: 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Нельзя</w:t>
      </w:r>
      <w:proofErr w:type="gram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исключить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косвенное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взаимодействие между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пэгаспаргазой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пероральными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контрацептивами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: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из-за </w:t>
      </w:r>
      <w:proofErr w:type="spellStart"/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гепатотоксичности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может нарушать печеночный клиренс пероральных контрацептивов.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Поэтому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одновременное применение </w:t>
      </w:r>
      <w:proofErr w:type="spellStart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пероральны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ми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контрацептивами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не рекомендуется. Женщины, способные к деторождению, должны применять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другие методы контрацепции</w:t>
      </w:r>
      <w:r w:rsidR="00936482" w:rsidRPr="00936482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E54E68" w:rsidRP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C3C3A" w:rsidRPr="004E7F5C">
        <w:rPr>
          <w:rFonts w:cs="HelveticaNeueLTStd-Lt"/>
          <w:color w:val="000000"/>
          <w:sz w:val="18"/>
          <w:szCs w:val="18"/>
          <w:rPrChange w:id="4" w:author="BASHKIROVA Elena RUSSIA" w:date="2024-02-22T09:09:00Z">
            <w:rPr>
              <w:rFonts w:cs="HelveticaNeueLTStd-Lt"/>
              <w:color w:val="000000"/>
              <w:sz w:val="18"/>
              <w:szCs w:val="18"/>
              <w:lang w:val="en-US"/>
            </w:rPr>
          </w:rPrChange>
        </w:rPr>
        <w:t xml:space="preserve"> </w:t>
      </w:r>
      <w:r w:rsidR="00936482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Фертильность</w:t>
      </w:r>
      <w:r w:rsidR="00936482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.</w:t>
      </w:r>
      <w:r w:rsidR="00E54E68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 xml:space="preserve"> </w:t>
      </w:r>
      <w:r w:rsidR="00936482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Б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еременност</w:t>
      </w:r>
      <w:r w:rsidR="003E071D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ь</w:t>
      </w:r>
      <w:r w:rsidR="00936482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>.</w:t>
      </w:r>
      <w:r w:rsidR="00356507">
        <w:rPr>
          <w:rFonts w:ascii="HelveticaNeueLTStd-BdCn" w:hAnsi="HelveticaNeueLTStd-BdCn" w:cs="HelveticaNeueLTStd-BdCn"/>
          <w:color w:val="CD0066"/>
          <w:sz w:val="18"/>
          <w:szCs w:val="18"/>
        </w:rPr>
        <w:t xml:space="preserve"> </w:t>
      </w:r>
      <w:r w:rsidR="00205B4D">
        <w:rPr>
          <w:rFonts w:ascii="HelveticaNeueLTStd-BdCn" w:hAnsi="HelveticaNeueLTStd-BdCn" w:cs="HelveticaNeueLTStd-BdCn"/>
          <w:sz w:val="18"/>
          <w:szCs w:val="18"/>
        </w:rPr>
        <w:t>П</w:t>
      </w:r>
      <w:r w:rsidR="00205B4D" w:rsidRPr="00205B4D">
        <w:rPr>
          <w:rFonts w:ascii="HelveticaNeueLTStd-BdCn" w:hAnsi="HelveticaNeueLTStd-BdCn" w:cs="HelveticaNeueLTStd-BdCn"/>
          <w:sz w:val="18"/>
          <w:szCs w:val="18"/>
        </w:rPr>
        <w:t>ротивопоказано.</w:t>
      </w:r>
      <w:r w:rsidR="00E54E68">
        <w:rPr>
          <w:rFonts w:ascii="HelveticaNeueLTStd-BdCn" w:hAnsi="HelveticaNeueLTStd-BdCn" w:cs="HelveticaNeueLTStd-BdCn"/>
          <w:sz w:val="18"/>
          <w:szCs w:val="18"/>
        </w:rPr>
        <w:t xml:space="preserve"> </w:t>
      </w:r>
      <w:r w:rsidR="00936482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Л</w:t>
      </w:r>
      <w:r w:rsidR="003E071D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актация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E54E6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рудное вскармливание должно быть прекращено во время лечения </w:t>
      </w:r>
      <w:proofErr w:type="spellStart"/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proofErr w:type="spellEnd"/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может быть возобновлено только после прекращения применения препарата.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05B4D" w:rsidRPr="00A17D3A">
        <w:rPr>
          <w:rFonts w:ascii="HelveticaNeueLTStd-BdCn" w:hAnsi="HelveticaNeueLTStd-BdCn" w:cs="HelveticaNeueLTStd-BdCn"/>
          <w:b/>
          <w:bCs/>
          <w:iCs/>
          <w:caps/>
          <w:color w:val="CD0066"/>
          <w:sz w:val="18"/>
          <w:szCs w:val="18"/>
        </w:rPr>
        <w:t>Контрацепция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E54E6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Пациенты мужского и женского пола должны применять эффективные противозачаточные средства во время лечения и в течение по меньшей мере 6 месяцев после прекращения лечения </w:t>
      </w:r>
      <w:proofErr w:type="spellStart"/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Онкаспар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ом</w:t>
      </w:r>
      <w:proofErr w:type="spellEnd"/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Ж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енщины, способные к деторождению, должны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использовать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надежные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методы контрацепции, кроме приема пероральных противозачаточных средств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Влияние на способность управлять транспортными средствами</w:t>
      </w:r>
      <w:r w:rsidR="00AD296B" w:rsidRPr="004E7F5C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  <w:rPrChange w:id="5" w:author="BASHKIROVA Elena RUSSIA" w:date="2024-02-22T09:09:00Z">
            <w:rPr>
              <w:rFonts w:ascii="HelveticaNeueLTStd-BdCn" w:hAnsi="HelveticaNeueLTStd-BdCn" w:cs="HelveticaNeueLTStd-BdCn"/>
              <w:b/>
              <w:bCs/>
              <w:caps/>
              <w:color w:val="CD0066"/>
              <w:sz w:val="18"/>
              <w:szCs w:val="18"/>
              <w:lang w:val="en-US"/>
            </w:rPr>
          </w:rPrChange>
        </w:rPr>
        <w:t>,</w:t>
      </w:r>
      <w:r w:rsidR="00A95FFE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механизмами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4C5771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 xml:space="preserve"> 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>Н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аблюдались сонливость, спутанность сознания, головокружение, обморок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судороги</w:t>
      </w:r>
      <w:r w:rsidR="00AF3660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E54E6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A95FFE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Нежелательные реакции</w:t>
      </w:r>
      <w:r w:rsidR="00A95FFE" w:rsidRPr="00A17D3A">
        <w:rPr>
          <w:rFonts w:ascii="HelveticaNeueLTStd-BdCn" w:hAnsi="HelveticaNeueLTStd-BdCn" w:cs="HelveticaNeueLTStd-BdCn"/>
          <w:b/>
          <w:bCs/>
          <w:color w:val="CD0066"/>
          <w:sz w:val="18"/>
          <w:szCs w:val="18"/>
        </w:rPr>
        <w:t xml:space="preserve"> 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E54E68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79420B" w:rsidRPr="0079420B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Очень часто: </w:t>
      </w:r>
      <w:bookmarkStart w:id="6" w:name="_Hlk25164594"/>
      <w:r w:rsidR="00205B4D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фебрильная</w:t>
      </w:r>
      <w:r w:rsidR="00205B4D">
        <w:rPr>
          <w:rFonts w:ascii="HelveticaNeueLTStd-Lt" w:hAnsi="HelveticaNeueLTStd-Lt" w:cs="HelveticaNeueLTStd-Lt"/>
          <w:i/>
          <w:color w:val="000000"/>
          <w:sz w:val="18"/>
          <w:szCs w:val="18"/>
        </w:rPr>
        <w:t xml:space="preserve"> </w:t>
      </w:r>
      <w:proofErr w:type="spellStart"/>
      <w:r w:rsidR="0079420B" w:rsidRPr="00A95FFE">
        <w:rPr>
          <w:rFonts w:ascii="HelveticaNeueLTStd-Lt" w:hAnsi="HelveticaNeueLTStd-Lt" w:cs="HelveticaNeueLTStd-Lt"/>
          <w:color w:val="000000"/>
          <w:sz w:val="18"/>
          <w:szCs w:val="18"/>
        </w:rPr>
        <w:t>нейтропения</w:t>
      </w:r>
      <w:proofErr w:type="spellEnd"/>
      <w:r w:rsidR="0079420B" w:rsidRPr="00A95FFE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реакции гиперчувствительности, крапивница, анафилактическая реакция, 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>панкреатит,</w:t>
      </w:r>
      <w:r w:rsidR="0079420B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205B4D" w:rsidRPr="00A95FFE">
        <w:rPr>
          <w:rFonts w:ascii="HelveticaNeueLTStd-Lt" w:hAnsi="HelveticaNeueLTStd-Lt" w:cs="HelveticaNeueLTStd-Lt"/>
          <w:color w:val="000000"/>
          <w:sz w:val="18"/>
          <w:szCs w:val="18"/>
        </w:rPr>
        <w:t>диарея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боль в животе, 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>тошнота</w:t>
      </w:r>
      <w:r w:rsid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нижение аппетита,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гипергликемия,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эмболия, сыпь, снижение массы тела, </w:t>
      </w:r>
      <w:proofErr w:type="spellStart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гипоальбуминемия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повышение концентрации аланинаминотрансферазы, повышение концентрации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аспартатаминотрансферазы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гипертриглицеридемия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снижение концентрации фибриногена в крови, повышение концентрации липазы, повышение концентрации амилазы, удлинение активированного частичного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тромбопластинового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времени, повышение концентрации билирубина в крови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bookmarkEnd w:id="6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79420B">
        <w:rPr>
          <w:rFonts w:ascii="HelveticaNeueLTStd-Lt" w:hAnsi="HelveticaNeueLTStd-Lt" w:cs="HelveticaNeueLTStd-Lt"/>
          <w:i/>
          <w:color w:val="000000"/>
          <w:sz w:val="18"/>
          <w:szCs w:val="18"/>
        </w:rPr>
        <w:t>Ч</w:t>
      </w:r>
      <w:r w:rsidR="0079420B" w:rsidRPr="0079420B">
        <w:rPr>
          <w:rFonts w:ascii="HelveticaNeueLTStd-Lt" w:hAnsi="HelveticaNeueLTStd-Lt" w:cs="HelveticaNeueLTStd-Lt"/>
          <w:i/>
          <w:color w:val="000000"/>
          <w:sz w:val="18"/>
          <w:szCs w:val="18"/>
        </w:rPr>
        <w:t>асто:</w:t>
      </w:r>
      <w:r w:rsidR="00205B4D" w:rsidRPr="00205B4D"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и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нфекции, сепсис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 а</w:t>
      </w:r>
      <w:r w:rsidR="00966D38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немия, </w:t>
      </w:r>
      <w:proofErr w:type="spellStart"/>
      <w:r w:rsidR="00966D38" w:rsidRPr="00205B4D">
        <w:rPr>
          <w:rFonts w:ascii="HelveticaNeueLTStd-Lt" w:hAnsi="HelveticaNeueLTStd-Lt" w:cs="HelveticaNeueLTStd-Lt"/>
          <w:color w:val="000000"/>
          <w:sz w:val="18"/>
          <w:szCs w:val="18"/>
        </w:rPr>
        <w:t>коагулопатия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иперлипидемия, </w:t>
      </w:r>
      <w:proofErr w:type="spellStart"/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гиперхолестеринемия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удороги, периферическая моторная нейропатия, обморок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тромбоз, гипоксия,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р</w:t>
      </w:r>
      <w:r w:rsidR="00966D38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вота, стоматит, асцит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proofErr w:type="spellStart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епатотоксичность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стеатоз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печени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 б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оли в конечностях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длинение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протромбинового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времени, повышение международного нормализованного отношения,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гипокалиемия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повышение концентрации холестерина в крови,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гипофибриногенемия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, повышение концентрации гамма-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глутамил</w:t>
      </w:r>
      <w:proofErr w:type="spellEnd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трансферазы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A27A40">
        <w:rPr>
          <w:rFonts w:ascii="HelveticaNeueLTStd-Lt" w:hAnsi="HelveticaNeueLTStd-Lt" w:cs="HelveticaNeueLTStd-Lt"/>
          <w:i/>
          <w:color w:val="000000"/>
          <w:sz w:val="18"/>
          <w:szCs w:val="18"/>
        </w:rPr>
        <w:t>Редко: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с</w:t>
      </w:r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индром задней обратимой </w:t>
      </w:r>
      <w:proofErr w:type="spellStart"/>
      <w:r w:rsidR="00966D38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лейкэнцефалопатии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>г</w:t>
      </w:r>
      <w:r w:rsidR="00A27A40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еморрагический панкреатит, </w:t>
      </w:r>
      <w:proofErr w:type="spellStart"/>
      <w:r w:rsidR="00A27A40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некроти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зирующ</w:t>
      </w:r>
      <w:r w:rsidR="00A27A40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ий</w:t>
      </w:r>
      <w:proofErr w:type="spellEnd"/>
      <w:r w:rsidR="00A27A40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панкреатит</w:t>
      </w:r>
      <w:r w:rsidR="00A27A40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B54255" w:rsidRPr="00B54255">
        <w:t xml:space="preserve"> </w:t>
      </w:r>
      <w:r w:rsidR="00B54255">
        <w:rPr>
          <w:rFonts w:ascii="HelveticaNeueLTStd-Lt" w:hAnsi="HelveticaNeueLTStd-Lt" w:cs="HelveticaNeueLTStd-Lt"/>
          <w:color w:val="000000"/>
          <w:sz w:val="18"/>
          <w:szCs w:val="18"/>
        </w:rPr>
        <w:t>н</w:t>
      </w:r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екроз клеток печени, желтуха, холестаз, печеночная недостаточность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A17D3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A27A40" w:rsidRPr="00966D38">
        <w:rPr>
          <w:rFonts w:ascii="HelveticaNeueLTStd-Lt" w:hAnsi="HelveticaNeueLTStd-Lt" w:cs="HelveticaNeueLTStd-Lt"/>
          <w:i/>
          <w:color w:val="000000"/>
          <w:sz w:val="18"/>
          <w:szCs w:val="18"/>
        </w:rPr>
        <w:t>Частота неизвестна:</w:t>
      </w:r>
      <w:r w:rsidR="00A27A40" w:rsidRPr="00966D38">
        <w:t xml:space="preserve"> </w:t>
      </w:r>
      <w:r w:rsidR="00A27A40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недостаточность костного мозга, 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анафилактический шок, диабетический </w:t>
      </w:r>
      <w:proofErr w:type="spellStart"/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>кетоацидоз</w:t>
      </w:r>
      <w:proofErr w:type="spellEnd"/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гипогликемия, спутанность сознания, сонливость, тремор, 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острое нарушение мозгового кровообращения, 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>тромбоз верхнего сагиттального синуса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966D38" w:rsidRP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proofErr w:type="spellStart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п</w:t>
      </w:r>
      <w:r w:rsidR="00966D38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>севдокисты</w:t>
      </w:r>
      <w:proofErr w:type="spellEnd"/>
      <w:r w:rsidR="00966D38" w:rsidRPr="00A27A4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поджелудочной железы, паротит</w:t>
      </w:r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>, т</w:t>
      </w:r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оксический эпидермальный </w:t>
      </w:r>
      <w:proofErr w:type="spellStart"/>
      <w:r w:rsidR="00966D38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некролиз</w:t>
      </w:r>
      <w:proofErr w:type="spellEnd"/>
      <w:r w:rsidR="00966D38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proofErr w:type="spellStart"/>
      <w:r w:rsidR="00B66BAD">
        <w:rPr>
          <w:rFonts w:ascii="HelveticaNeueLTStd-Lt" w:hAnsi="HelveticaNeueLTStd-Lt" w:cs="HelveticaNeueLTStd-Lt"/>
          <w:color w:val="000000"/>
          <w:sz w:val="18"/>
          <w:szCs w:val="18"/>
        </w:rPr>
        <w:t>остеонекроз</w:t>
      </w:r>
      <w:proofErr w:type="spellEnd"/>
      <w:r w:rsidR="00B66BAD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B66BAD" w:rsidRPr="004E7F5C">
        <w:rPr>
          <w:rFonts w:cs="HelveticaNeueLTStd-Lt"/>
          <w:color w:val="000000"/>
          <w:sz w:val="18"/>
          <w:szCs w:val="18"/>
          <w:rPrChange w:id="7" w:author="BASHKIROVA Elena RUSSIA" w:date="2024-02-22T09:09:00Z">
            <w:rPr>
              <w:rFonts w:cs="HelveticaNeueLTStd-Lt"/>
              <w:color w:val="000000"/>
              <w:sz w:val="18"/>
              <w:szCs w:val="18"/>
              <w:lang w:val="en-US"/>
            </w:rPr>
          </w:rPrChange>
        </w:rPr>
        <w:t xml:space="preserve"> </w:t>
      </w:r>
      <w:r w:rsidR="00C2665E">
        <w:rPr>
          <w:rFonts w:ascii="HelveticaNeueLTStd-Lt" w:hAnsi="HelveticaNeueLTStd-Lt" w:cs="HelveticaNeueLTStd-Lt"/>
          <w:color w:val="000000"/>
          <w:sz w:val="18"/>
          <w:szCs w:val="18"/>
        </w:rPr>
        <w:t>о</w:t>
      </w:r>
      <w:r w:rsidR="00C2665E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страя почечная недостаточность</w:t>
      </w:r>
      <w:r w:rsidR="00C2665E">
        <w:rPr>
          <w:rFonts w:ascii="HelveticaNeueLTStd-Lt" w:hAnsi="HelveticaNeueLTStd-Lt" w:cs="HelveticaNeueLTStd-Lt"/>
          <w:color w:val="000000"/>
          <w:sz w:val="18"/>
          <w:szCs w:val="18"/>
        </w:rPr>
        <w:t>, п</w:t>
      </w:r>
      <w:r w:rsidR="00C2665E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овышение температуры тела</w:t>
      </w:r>
      <w:r w:rsidR="00C2665E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</w:t>
      </w:r>
      <w:r w:rsidR="00B54255">
        <w:rPr>
          <w:rFonts w:ascii="HelveticaNeueLTStd-Lt" w:hAnsi="HelveticaNeueLTStd-Lt" w:cs="HelveticaNeueLTStd-Lt"/>
          <w:color w:val="000000"/>
          <w:sz w:val="18"/>
          <w:szCs w:val="18"/>
        </w:rPr>
        <w:t>п</w:t>
      </w:r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овышение концентрации мочевины в крови, выработка антител к </w:t>
      </w:r>
      <w:proofErr w:type="spellStart"/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пэгаспаргазе</w:t>
      </w:r>
      <w:proofErr w:type="spellEnd"/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, снижение количества нейтрофилов, снижение количества тромбоцитов, </w:t>
      </w:r>
      <w:proofErr w:type="spellStart"/>
      <w:r w:rsidR="00B54255" w:rsidRPr="00B54255">
        <w:rPr>
          <w:rFonts w:ascii="HelveticaNeueLTStd-Lt" w:hAnsi="HelveticaNeueLTStd-Lt" w:cs="HelveticaNeueLTStd-Lt"/>
          <w:color w:val="000000"/>
          <w:sz w:val="18"/>
          <w:szCs w:val="18"/>
        </w:rPr>
        <w:t>гипераммониемия</w:t>
      </w:r>
      <w:proofErr w:type="spellEnd"/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A17D3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Передозировка</w:t>
      </w:r>
      <w:r w:rsidR="00AF3660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*</w:t>
      </w:r>
      <w:r w:rsidR="00351DFB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>.</w:t>
      </w:r>
      <w:r w:rsidR="00A17D3A" w:rsidRPr="00A17D3A">
        <w:rPr>
          <w:rFonts w:ascii="HelveticaNeueLTStd-Bd" w:hAnsi="HelveticaNeueLTStd-Bd" w:cs="HelveticaNeueLTStd-Bd"/>
          <w:b/>
          <w:bCs/>
          <w:color w:val="CD0066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Фармакологические</w:t>
      </w:r>
      <w:r w:rsidR="00356507" w:rsidRPr="007B3BDE">
        <w:rPr>
          <w:rFonts w:ascii="HelveticaNeueLTStd-BdCn" w:hAnsi="HelveticaNeueLTStd-BdCn" w:cs="HelveticaNeueLTStd-BdCn"/>
          <w:caps/>
          <w:color w:val="CD0066"/>
          <w:sz w:val="18"/>
          <w:szCs w:val="18"/>
        </w:rPr>
        <w:t xml:space="preserve">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свойства</w:t>
      </w:r>
      <w:proofErr w:type="gramStart"/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L</w:t>
      </w:r>
      <w:proofErr w:type="gramEnd"/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-</w:t>
      </w:r>
      <w:proofErr w:type="spellStart"/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аспарагиназ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а</w:t>
      </w:r>
      <w:proofErr w:type="spellEnd"/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– 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фермент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,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расщепл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яющий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аминокислот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L-аспарагин 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на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аспарагинов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ую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кислот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у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и аммони</w:t>
      </w:r>
      <w:r w:rsidR="0047108F">
        <w:rPr>
          <w:rFonts w:ascii="HelveticaNeueLTStd-Lt" w:hAnsi="HelveticaNeueLTStd-Lt" w:cs="HelveticaNeueLTStd-Lt"/>
          <w:color w:val="000000"/>
          <w:sz w:val="18"/>
          <w:szCs w:val="18"/>
        </w:rPr>
        <w:t>й</w:t>
      </w:r>
      <w:r w:rsidR="0047108F" w:rsidRPr="0047108F">
        <w:rPr>
          <w:rFonts w:ascii="HelveticaNeueLTStd-Lt" w:hAnsi="HelveticaNeueLTStd-Lt" w:cs="HelveticaNeueLTStd-Lt"/>
          <w:color w:val="000000"/>
          <w:sz w:val="18"/>
          <w:szCs w:val="18"/>
        </w:rPr>
        <w:t>. Истощение запасов L-аспарагина в крови приводит к подавлению синтеза белков, ДНК и РНК, в особенности в лейкемических бластах, которые не способны синтезировать L-аспарагин и в результате этого подвергаются апоптозу.</w:t>
      </w:r>
      <w:r w:rsidR="00A17D3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F3FC1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 xml:space="preserve">Перечень вспомогательных веществ*. </w:t>
      </w:r>
      <w:r w:rsidR="00356507" w:rsidRPr="00A17D3A">
        <w:rPr>
          <w:rFonts w:ascii="HelveticaNeueLTStd-BdCn" w:hAnsi="HelveticaNeueLTStd-BdCn" w:cs="HelveticaNeueLTStd-BdCn"/>
          <w:b/>
          <w:bCs/>
          <w:caps/>
          <w:color w:val="CD0066"/>
          <w:sz w:val="18"/>
          <w:szCs w:val="18"/>
        </w:rPr>
        <w:t>Форма выпуска</w:t>
      </w:r>
      <w:r w:rsidR="00AF3660">
        <w:rPr>
          <w:rFonts w:ascii="HelveticaNeueLTStd-Bd" w:hAnsi="HelveticaNeueLTStd-Bd" w:cs="HelveticaNeueLTStd-Bd"/>
          <w:color w:val="CD0066"/>
          <w:sz w:val="18"/>
          <w:szCs w:val="18"/>
        </w:rPr>
        <w:t>*</w:t>
      </w:r>
      <w:r w:rsidR="00351DFB">
        <w:rPr>
          <w:rFonts w:ascii="HelveticaNeueLTStd-Bd" w:hAnsi="HelveticaNeueLTStd-Bd" w:cs="HelveticaNeueLTStd-Bd"/>
          <w:color w:val="CD0066"/>
          <w:sz w:val="18"/>
          <w:szCs w:val="18"/>
        </w:rPr>
        <w:t>.</w:t>
      </w:r>
      <w:r w:rsidR="00A17D3A">
        <w:rPr>
          <w:rFonts w:ascii="HelveticaNeueLTStd-Bd" w:hAnsi="HelveticaNeueLTStd-Bd" w:cs="HelveticaNeueLTStd-Bd"/>
          <w:color w:val="CD0066"/>
          <w:sz w:val="18"/>
          <w:szCs w:val="18"/>
        </w:rPr>
        <w:t xml:space="preserve"> </w:t>
      </w:r>
      <w:r w:rsidR="00B971F0" w:rsidRPr="00B971F0">
        <w:rPr>
          <w:rFonts w:ascii="HelveticaNeueLTStd-Lt" w:hAnsi="HelveticaNeueLTStd-Lt" w:cs="HelveticaNeueLTStd-Lt"/>
          <w:color w:val="000000"/>
          <w:sz w:val="18"/>
          <w:szCs w:val="18"/>
        </w:rPr>
        <w:t>Количество препарата в упаковке: 1</w:t>
      </w:r>
      <w:r w:rsidR="00B971F0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флакон</w:t>
      </w:r>
      <w:r w:rsidR="00B971F0" w:rsidRPr="00B971F0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  <w:r w:rsidR="00B16B9C" w:rsidRPr="00B16B9C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 </w:t>
      </w:r>
      <w:r w:rsidR="004F3735" w:rsidRPr="004F3735">
        <w:rPr>
          <w:rFonts w:ascii="HelveticaNeueLTStd-Bd" w:hAnsi="HelveticaNeueLTStd-Bd" w:cs="HelveticaNeueLTStd-Bd"/>
          <w:color w:val="000D4D"/>
          <w:sz w:val="18"/>
          <w:szCs w:val="18"/>
        </w:rPr>
        <w:t>АО «</w:t>
      </w:r>
      <w:proofErr w:type="spellStart"/>
      <w:r w:rsidR="004F3735" w:rsidRPr="004F3735">
        <w:rPr>
          <w:rFonts w:ascii="HelveticaNeueLTStd-Bd" w:hAnsi="HelveticaNeueLTStd-Bd" w:cs="HelveticaNeueLTStd-Bd"/>
          <w:color w:val="000D4D"/>
          <w:sz w:val="18"/>
          <w:szCs w:val="18"/>
        </w:rPr>
        <w:t>Сервье</w:t>
      </w:r>
      <w:proofErr w:type="spellEnd"/>
      <w:r w:rsidR="004F3735" w:rsidRPr="004F3735">
        <w:rPr>
          <w:rFonts w:ascii="HelveticaNeueLTStd-Bd" w:hAnsi="HelveticaNeueLTStd-Bd" w:cs="HelveticaNeueLTStd-Bd"/>
          <w:color w:val="000D4D"/>
          <w:sz w:val="18"/>
          <w:szCs w:val="18"/>
        </w:rPr>
        <w:t>»</w:t>
      </w:r>
      <w:r w:rsidR="004F3735">
        <w:rPr>
          <w:rFonts w:ascii="HelveticaNeueLTStd-Bd" w:hAnsi="HelveticaNeueLTStd-Bd" w:cs="HelveticaNeueLTStd-Bd"/>
          <w:color w:val="000D4D"/>
          <w:sz w:val="18"/>
          <w:szCs w:val="18"/>
        </w:rPr>
        <w:t xml:space="preserve">. </w:t>
      </w:r>
      <w:r w:rsidR="004F3735" w:rsidRPr="004F3735">
        <w:rPr>
          <w:rFonts w:ascii="HelveticaNeueLTStd-Lt" w:hAnsi="HelveticaNeueLTStd-Lt" w:cs="HelveticaNeueLTStd-Lt"/>
          <w:color w:val="000000"/>
          <w:sz w:val="18"/>
          <w:szCs w:val="18"/>
        </w:rPr>
        <w:t>125196, Российская Федерация, г. Москва, ул. Лесная, д.7</w:t>
      </w:r>
      <w:r w:rsidR="004F3735">
        <w:rPr>
          <w:rFonts w:ascii="HelveticaNeueLTStd-Lt" w:hAnsi="HelveticaNeueLTStd-Lt" w:cs="HelveticaNeueLTStd-Lt"/>
          <w:color w:val="000000"/>
          <w:sz w:val="18"/>
          <w:szCs w:val="18"/>
        </w:rPr>
        <w:t>. тел. +7(495) 937 07 00</w:t>
      </w:r>
      <w:r w:rsidR="00AF0F7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. </w:t>
      </w:r>
      <w:r w:rsidR="00AF0F7A" w:rsidRPr="00AF0F7A">
        <w:rPr>
          <w:rFonts w:ascii="HelveticaNeueLTStd-Lt" w:hAnsi="HelveticaNeueLTStd-Lt" w:cs="HelveticaNeueLTStd-Lt"/>
          <w:color w:val="000000"/>
          <w:sz w:val="18"/>
          <w:szCs w:val="18"/>
        </w:rPr>
        <w:t xml:space="preserve">Регистрационное удостоверение: </w:t>
      </w:r>
      <w:r w:rsidR="00A17D3A" w:rsidRPr="00A17D3A">
        <w:rPr>
          <w:rFonts w:ascii="HelveticaNeueLTStd-Lt" w:hAnsi="HelveticaNeueLTStd-Lt" w:cs="HelveticaNeueLTStd-Lt"/>
          <w:color w:val="000000"/>
          <w:sz w:val="18"/>
          <w:szCs w:val="18"/>
        </w:rPr>
        <w:t>ЛП-№(000545)-(РГ-RU)</w:t>
      </w:r>
      <w:r w:rsidR="00AF0F7A" w:rsidRPr="00A17D3A">
        <w:rPr>
          <w:rFonts w:ascii="HelveticaNeueLTStd-Lt" w:hAnsi="HelveticaNeueLTStd-Lt" w:cs="HelveticaNeueLTStd-Lt"/>
          <w:color w:val="000000"/>
          <w:sz w:val="18"/>
          <w:szCs w:val="18"/>
        </w:rPr>
        <w:t>.</w:t>
      </w:r>
    </w:p>
    <w:p w14:paraId="7057E5E0" w14:textId="2DC51F5C" w:rsidR="00AF3660" w:rsidRPr="00726E47" w:rsidRDefault="001D5B73" w:rsidP="00AF3660">
      <w:pPr>
        <w:rPr>
          <w:rFonts w:ascii="HelveticaNeueLTStd-Lt" w:hAnsi="HelveticaNeueLTStd-Lt" w:cs="HelveticaNeueLTStd-Lt"/>
          <w:b/>
          <w:bCs/>
          <w:color w:val="000000"/>
          <w:sz w:val="18"/>
          <w:szCs w:val="18"/>
        </w:rPr>
      </w:pPr>
      <w:r>
        <w:rPr>
          <w:rFonts w:ascii="HelveticaNeueLTStd-Lt" w:hAnsi="HelveticaNeueLTStd-Lt" w:cs="HelveticaNeueLTStd-Lt"/>
          <w:b/>
          <w:bCs/>
          <w:color w:val="000000"/>
          <w:sz w:val="18"/>
          <w:szCs w:val="18"/>
        </w:rPr>
        <w:t xml:space="preserve">* </w:t>
      </w:r>
      <w:r w:rsidRPr="001D5B73">
        <w:rPr>
          <w:rFonts w:ascii="HelveticaNeueLTStd-Lt" w:hAnsi="HelveticaNeueLTStd-Lt" w:cs="HelveticaNeueLTStd-Lt"/>
          <w:b/>
          <w:bCs/>
          <w:color w:val="000000"/>
          <w:sz w:val="18"/>
          <w:szCs w:val="18"/>
        </w:rPr>
        <w:t>Для получения полной информации, пожалуйста, обратитесь к общей характеристике лекарственного препарата</w:t>
      </w:r>
    </w:p>
    <w:sectPr w:rsidR="00AF3660" w:rsidRPr="0072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LTStd-BdCn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HelveticaNeueLTStd-L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Std-B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SHKIROVA Elena RUSSIA">
    <w15:presenceInfo w15:providerId="AD" w15:userId="S::elena.bashkirova@servier.com::33a75fd5-728d-4a35-b6f7-fa3207bde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F8"/>
    <w:rsid w:val="00113499"/>
    <w:rsid w:val="001C5B95"/>
    <w:rsid w:val="001D5B73"/>
    <w:rsid w:val="001E3E75"/>
    <w:rsid w:val="00205B4D"/>
    <w:rsid w:val="00233FBB"/>
    <w:rsid w:val="00244288"/>
    <w:rsid w:val="002545C1"/>
    <w:rsid w:val="0025779D"/>
    <w:rsid w:val="00265F51"/>
    <w:rsid w:val="002B2330"/>
    <w:rsid w:val="002D1E88"/>
    <w:rsid w:val="002F14FC"/>
    <w:rsid w:val="00324809"/>
    <w:rsid w:val="00326AF8"/>
    <w:rsid w:val="00350740"/>
    <w:rsid w:val="00351DFB"/>
    <w:rsid w:val="00356507"/>
    <w:rsid w:val="00371C04"/>
    <w:rsid w:val="003C0C8F"/>
    <w:rsid w:val="003E071D"/>
    <w:rsid w:val="00416053"/>
    <w:rsid w:val="004330B3"/>
    <w:rsid w:val="004417DD"/>
    <w:rsid w:val="0047108F"/>
    <w:rsid w:val="00477584"/>
    <w:rsid w:val="00477FDA"/>
    <w:rsid w:val="00494B92"/>
    <w:rsid w:val="004B03E3"/>
    <w:rsid w:val="004C5771"/>
    <w:rsid w:val="004E7F5C"/>
    <w:rsid w:val="004F3735"/>
    <w:rsid w:val="004F3FC1"/>
    <w:rsid w:val="005245B4"/>
    <w:rsid w:val="0053282D"/>
    <w:rsid w:val="00552AF1"/>
    <w:rsid w:val="00603D1D"/>
    <w:rsid w:val="00685150"/>
    <w:rsid w:val="006E0D0D"/>
    <w:rsid w:val="00717A91"/>
    <w:rsid w:val="00726E47"/>
    <w:rsid w:val="007401ED"/>
    <w:rsid w:val="00740D6D"/>
    <w:rsid w:val="00751717"/>
    <w:rsid w:val="00754277"/>
    <w:rsid w:val="00761882"/>
    <w:rsid w:val="0079420B"/>
    <w:rsid w:val="007B3BDE"/>
    <w:rsid w:val="007E0F3B"/>
    <w:rsid w:val="007F06B8"/>
    <w:rsid w:val="0082081A"/>
    <w:rsid w:val="0089612C"/>
    <w:rsid w:val="008B5CC0"/>
    <w:rsid w:val="008B60D9"/>
    <w:rsid w:val="008C0C7F"/>
    <w:rsid w:val="008C46A6"/>
    <w:rsid w:val="00936482"/>
    <w:rsid w:val="00966D38"/>
    <w:rsid w:val="009A0CCA"/>
    <w:rsid w:val="00A061F3"/>
    <w:rsid w:val="00A0650C"/>
    <w:rsid w:val="00A17D3A"/>
    <w:rsid w:val="00A27A40"/>
    <w:rsid w:val="00A95FFE"/>
    <w:rsid w:val="00AC3CA0"/>
    <w:rsid w:val="00AD296B"/>
    <w:rsid w:val="00AF0F7A"/>
    <w:rsid w:val="00AF3660"/>
    <w:rsid w:val="00B16B9C"/>
    <w:rsid w:val="00B20EB6"/>
    <w:rsid w:val="00B54255"/>
    <w:rsid w:val="00B65009"/>
    <w:rsid w:val="00B66BAD"/>
    <w:rsid w:val="00B822E8"/>
    <w:rsid w:val="00B971F0"/>
    <w:rsid w:val="00BD1FC5"/>
    <w:rsid w:val="00BE0846"/>
    <w:rsid w:val="00C2115D"/>
    <w:rsid w:val="00C2665E"/>
    <w:rsid w:val="00C60868"/>
    <w:rsid w:val="00D16774"/>
    <w:rsid w:val="00D45C15"/>
    <w:rsid w:val="00D61389"/>
    <w:rsid w:val="00E0626F"/>
    <w:rsid w:val="00E31D0A"/>
    <w:rsid w:val="00E54E68"/>
    <w:rsid w:val="00E77B17"/>
    <w:rsid w:val="00E95584"/>
    <w:rsid w:val="00E9775C"/>
    <w:rsid w:val="00EC3C3A"/>
    <w:rsid w:val="00ED4198"/>
    <w:rsid w:val="00F26A3D"/>
    <w:rsid w:val="00F37967"/>
    <w:rsid w:val="00F538B8"/>
    <w:rsid w:val="00F55BEC"/>
    <w:rsid w:val="00FA01C6"/>
    <w:rsid w:val="00FB3392"/>
    <w:rsid w:val="00FC689D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6192"/>
  <w15:chartTrackingRefBased/>
  <w15:docId w15:val="{63BEB772-0570-452E-AF48-D54740E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65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65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565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65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5650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507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E7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rvPMpRegulatoryDocumentStartDate xmlns="641398a3-663c-4042-882f-3187b5eb6430">2023-02-07T21:00:00+00:00</SrvPMpRegulatoryDocumentStartDate>
    <SrvPMpRegulatoryDocumentType xmlns="641398a3-663c-4042-882f-3187b5eb6430">01 – справочная информация по безопасности</SrvPMpRegulatoryDocumentType>
    <SrvPMpRegulatoryDocumentAnnulProcessed xmlns="641398a3-663c-4042-882f-3187b5eb6430" xsi:nil="true"/>
    <SrvPMpRegulatoryDocumentEndDate xmlns="641398a3-663c-4042-882f-3187b5eb6430" xsi:nil="true"/>
    <SrvPMpMedicamentLookup xmlns="641398a3-663c-4042-882f-3187b5eb6430">82</SrvPMpMedicamentLookup>
    <SrvPMpRMaterialQRecordStatus xmlns="641398a3-663c-4042-882f-3187b5eb6430">Обработано начало</SrvPMpRMaterialQRecordStatus>
  </documentManagement>
</p:properties>
</file>

<file path=customXml/item2.xml><?xml version="1.0" encoding="utf-8"?>
<?mso-contentType ?>
<FormTemplates xmlns="http://schemas.microsoft.com/sharepoint/v3/contenttype/forms">
  <Edit>MSTeamServierPMRegulatoryMaterialNewAndEditForm</Edit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гламентирующий материал" ma:contentTypeID="0x010100CE5E81F46885488FBAFBA25D2F777AC400C1DB1027F33E2541AE8A581B1A58D154" ma:contentTypeVersion="3" ma:contentTypeDescription="" ma:contentTypeScope="" ma:versionID="8ca1e649a302f1387e389c7cc1b6cbd0">
  <xsd:schema xmlns:xsd="http://www.w3.org/2001/XMLSchema" xmlns:xs="http://www.w3.org/2001/XMLSchema" xmlns:p="http://schemas.microsoft.com/office/2006/metadata/properties" xmlns:ns2="641398a3-663c-4042-882f-3187b5eb6430" targetNamespace="http://schemas.microsoft.com/office/2006/metadata/properties" ma:root="true" ma:fieldsID="5e17fbfe6084429cdf49b7bc81b42289" ns2:_="">
    <xsd:import namespace="641398a3-663c-4042-882f-3187b5eb6430"/>
    <xsd:element name="properties">
      <xsd:complexType>
        <xsd:sequence>
          <xsd:element name="documentManagement">
            <xsd:complexType>
              <xsd:all>
                <xsd:element ref="ns2:SrvPMpRegulatoryDocumentType" minOccurs="0"/>
                <xsd:element ref="ns2:SrvPMpMedicamentLookup" minOccurs="0"/>
                <xsd:element ref="ns2:SrvPMpRegulatoryDocumentStartDate" minOccurs="0"/>
                <xsd:element ref="ns2:SrvPMpRegulatoryDocumentEndDate" minOccurs="0"/>
                <xsd:element ref="ns2:SrvPMpRegulatoryDocumentAnnulProcessed" minOccurs="0"/>
                <xsd:element ref="ns2:SrvPMpRMaterialQRecord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98a3-663c-4042-882f-3187b5eb6430" elementFormDefault="qualified">
    <xsd:import namespace="http://schemas.microsoft.com/office/2006/documentManagement/types"/>
    <xsd:import namespace="http://schemas.microsoft.com/office/infopath/2007/PartnerControls"/>
    <xsd:element name="SrvPMpRegulatoryDocumentType" ma:index="1" nillable="true" ma:displayName="Тип документа" ma:default="" ma:internalName="SrvPMpRegulatoryDocumentType">
      <xsd:simpleType>
        <xsd:restriction base="dms:Choice">
          <xsd:enumeration value="01 – справочная информация по безопасности"/>
          <xsd:enumeration value="02 – страница по безопасности для VA"/>
        </xsd:restriction>
      </xsd:simpleType>
    </xsd:element>
    <xsd:element name="SrvPMpMedicamentLookup" ma:index="2" nillable="true" ma:displayName="Препарат" ma:list="ff593b7a-f79e-4dd1-8c2d-3c090c158185" ma:internalName="SrvPMpMedicamentLookup" ma:showField="Title" ma:web="c09fb2fa-faeb-4035-82b1-2efd33cf3d54">
      <xsd:simpleType>
        <xsd:restriction base="dms:Lookup"/>
      </xsd:simpleType>
    </xsd:element>
    <xsd:element name="SrvPMpRegulatoryDocumentStartDate" ma:index="3" nillable="true" ma:displayName="Дата начала срока действия" ma:format="DateOnly" ma:internalName="SrvPMpRegulatoryDocumentStartDate">
      <xsd:simpleType>
        <xsd:restriction base="dms:DateTime"/>
      </xsd:simpleType>
    </xsd:element>
    <xsd:element name="SrvPMpRegulatoryDocumentEndDate" ma:index="4" nillable="true" ma:displayName="Дата окончания срока действия" ma:format="DateOnly" ma:internalName="SrvPMpRegulatoryDocumentEndDate">
      <xsd:simpleType>
        <xsd:restriction base="dms:DateTime"/>
      </xsd:simpleType>
    </xsd:element>
    <xsd:element name="SrvPMpRegulatoryDocumentAnnulProcessed" ma:index="5" nillable="true" ma:displayName="Аннулирование обработано" ma:internalName="SrvPMpRegulatoryDocumentAnnulProcessed">
      <xsd:simpleType>
        <xsd:restriction base="dms:Boolean"/>
      </xsd:simpleType>
    </xsd:element>
    <xsd:element name="SrvPMpRMaterialQRecordStatus" ma:index="6" ma:displayName="Обработка опросника" ma:default="Не обработано" ma:internalName="SrvPMpRMaterialQRecordStatus">
      <xsd:simpleType>
        <xsd:restriction base="dms:Choice">
          <xsd:enumeration value="Не обработано"/>
          <xsd:enumeration value="Обработано начало"/>
          <xsd:enumeration value="Обработано аннулирова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AEA4B-0A53-43E1-BE6B-6F43C3DB9A38}">
  <ds:schemaRefs>
    <ds:schemaRef ds:uri="http://schemas.microsoft.com/office/2006/documentManagement/types"/>
    <ds:schemaRef ds:uri="641398a3-663c-4042-882f-3187b5eb643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06C5EC-1EA4-43F8-8C9F-BBCA458F9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A4CF6-9202-4471-8F58-09D33C7F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398a3-663c-4042-882f-3187b5eb6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Oncaspar_RSIad_Feb23</dc:title>
  <dc:subject/>
  <dc:creator>ZAVYALOV Aleksandr RUSSIA</dc:creator>
  <cp:keywords/>
  <dc:description/>
  <cp:lastModifiedBy>BASHKIROVA Elena RUSSIA</cp:lastModifiedBy>
  <cp:revision>2</cp:revision>
  <dcterms:created xsi:type="dcterms:W3CDTF">2024-02-22T06:09:00Z</dcterms:created>
  <dcterms:modified xsi:type="dcterms:W3CDTF">2024-02-22T06:09:00Z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0x010100CE5E81F46885488FBAFBA25D2F777AC400C1DB1027F33E2541AE8A581B1A58D154</vt:lpwstr>
  </property>
</Properties>
</file>